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6" w:type="dxa"/>
        <w:tblLayout w:type="fixed"/>
        <w:tblCellMar>
          <w:left w:w="0" w:type="dxa"/>
          <w:right w:w="0" w:type="dxa"/>
        </w:tblCellMar>
        <w:tblLook w:val="0000" w:firstRow="0" w:lastRow="0" w:firstColumn="0" w:lastColumn="0" w:noHBand="0" w:noVBand="0"/>
      </w:tblPr>
      <w:tblGrid>
        <w:gridCol w:w="2552"/>
        <w:gridCol w:w="2835"/>
        <w:gridCol w:w="425"/>
        <w:gridCol w:w="3544"/>
        <w:gridCol w:w="40"/>
        <w:gridCol w:w="10"/>
      </w:tblGrid>
      <w:tr w:rsidR="008C46BC" w:rsidRPr="00B44E4A" w14:paraId="104BCE2A" w14:textId="77777777" w:rsidTr="00D43C15">
        <w:trPr>
          <w:gridAfter w:val="1"/>
          <w:wAfter w:w="10" w:type="dxa"/>
        </w:trPr>
        <w:tc>
          <w:tcPr>
            <w:tcW w:w="9356" w:type="dxa"/>
            <w:gridSpan w:val="4"/>
            <w:tcBorders>
              <w:bottom w:val="single" w:sz="4" w:space="0" w:color="000000"/>
            </w:tcBorders>
          </w:tcPr>
          <w:p w14:paraId="5B9B4BF1" w14:textId="77777777" w:rsidR="008C46BC" w:rsidRPr="00B44E4A" w:rsidRDefault="008C46BC">
            <w:pPr>
              <w:jc w:val="center"/>
              <w:rPr>
                <w:sz w:val="28"/>
                <w:szCs w:val="22"/>
              </w:rPr>
            </w:pPr>
          </w:p>
          <w:p w14:paraId="6FBD30B2" w14:textId="73C96937" w:rsidR="00D32B47" w:rsidRPr="008F2672" w:rsidRDefault="008F2672" w:rsidP="008F2672">
            <w:pPr>
              <w:spacing w:after="120"/>
              <w:jc w:val="center"/>
              <w:rPr>
                <w:b/>
                <w:bCs/>
                <w:sz w:val="28"/>
              </w:rPr>
            </w:pPr>
            <w:r>
              <w:rPr>
                <w:b/>
                <w:bCs/>
                <w:sz w:val="28"/>
              </w:rPr>
              <w:t xml:space="preserve">Juriste, chargé </w:t>
            </w:r>
            <w:r w:rsidR="00D32B47">
              <w:rPr>
                <w:b/>
                <w:bCs/>
                <w:sz w:val="28"/>
              </w:rPr>
              <w:t>des achats et des march</w:t>
            </w:r>
            <w:r w:rsidR="00EC181F">
              <w:rPr>
                <w:b/>
                <w:bCs/>
                <w:sz w:val="28"/>
              </w:rPr>
              <w:t>é</w:t>
            </w:r>
            <w:r w:rsidR="00D32B47">
              <w:rPr>
                <w:b/>
                <w:bCs/>
                <w:sz w:val="28"/>
              </w:rPr>
              <w:t>s</w:t>
            </w:r>
            <w:r w:rsidR="00FD1F29" w:rsidRPr="00B44E4A">
              <w:rPr>
                <w:b/>
                <w:bCs/>
                <w:sz w:val="28"/>
              </w:rPr>
              <w:t>(H/F)</w:t>
            </w:r>
          </w:p>
        </w:tc>
        <w:tc>
          <w:tcPr>
            <w:tcW w:w="40" w:type="dxa"/>
          </w:tcPr>
          <w:p w14:paraId="48020377" w14:textId="77777777" w:rsidR="008C46BC" w:rsidRPr="00B44E4A" w:rsidRDefault="008C46BC">
            <w:pPr>
              <w:snapToGrid w:val="0"/>
              <w:rPr>
                <w:b/>
                <w:sz w:val="28"/>
                <w:szCs w:val="19"/>
              </w:rPr>
            </w:pPr>
          </w:p>
        </w:tc>
      </w:tr>
      <w:tr w:rsidR="008C46BC" w14:paraId="576DFFD9" w14:textId="77777777" w:rsidTr="00C01AF5">
        <w:tblPrEx>
          <w:tblCellMar>
            <w:left w:w="70" w:type="dxa"/>
            <w:right w:w="70" w:type="dxa"/>
          </w:tblCellMar>
        </w:tblPrEx>
        <w:trPr>
          <w:trHeight w:val="588"/>
        </w:trPr>
        <w:tc>
          <w:tcPr>
            <w:tcW w:w="9406" w:type="dxa"/>
            <w:gridSpan w:val="6"/>
            <w:tcBorders>
              <w:top w:val="single" w:sz="4" w:space="0" w:color="000000"/>
              <w:left w:val="single" w:sz="4" w:space="0" w:color="000000"/>
              <w:bottom w:val="single" w:sz="4" w:space="0" w:color="000000"/>
              <w:right w:val="single" w:sz="4" w:space="0" w:color="000000"/>
            </w:tcBorders>
          </w:tcPr>
          <w:p w14:paraId="4730E43E" w14:textId="417E0C55" w:rsidR="008C46BC" w:rsidRDefault="008C46BC">
            <w:pPr>
              <w:snapToGrid w:val="0"/>
              <w:spacing w:before="240"/>
              <w:rPr>
                <w:b/>
                <w:sz w:val="19"/>
                <w:szCs w:val="19"/>
              </w:rPr>
            </w:pPr>
            <w:r>
              <w:rPr>
                <w:b/>
                <w:sz w:val="19"/>
                <w:szCs w:val="19"/>
              </w:rPr>
              <w:t>N° du poste :</w:t>
            </w:r>
            <w:r w:rsidR="00CE751E">
              <w:rPr>
                <w:b/>
                <w:sz w:val="19"/>
                <w:szCs w:val="19"/>
              </w:rPr>
              <w:t xml:space="preserve"> </w:t>
            </w:r>
            <w:r w:rsidR="008F2672" w:rsidRPr="008F2672">
              <w:rPr>
                <w:b/>
                <w:sz w:val="19"/>
                <w:szCs w:val="19"/>
              </w:rPr>
              <w:t>A2ALF00255</w:t>
            </w:r>
          </w:p>
          <w:p w14:paraId="39B10733" w14:textId="77777777" w:rsidR="008C46BC" w:rsidRDefault="004E7CBC" w:rsidP="0025741C">
            <w:pPr>
              <w:snapToGrid w:val="0"/>
              <w:spacing w:before="120" w:after="120"/>
              <w:rPr>
                <w:b/>
                <w:sz w:val="19"/>
                <w:szCs w:val="19"/>
              </w:rPr>
            </w:pPr>
            <w:r>
              <w:rPr>
                <w:b/>
                <w:sz w:val="19"/>
                <w:szCs w:val="19"/>
              </w:rPr>
              <w:t>Catégorie : A</w:t>
            </w:r>
            <w:r w:rsidR="008277A4">
              <w:rPr>
                <w:b/>
                <w:sz w:val="19"/>
                <w:szCs w:val="19"/>
              </w:rPr>
              <w:t xml:space="preserve"> </w:t>
            </w:r>
            <w:r w:rsidR="00967987">
              <w:rPr>
                <w:b/>
                <w:sz w:val="19"/>
                <w:szCs w:val="19"/>
              </w:rPr>
              <w:t>(Ingénieur d’études ou Attaché)</w:t>
            </w:r>
          </w:p>
        </w:tc>
      </w:tr>
      <w:tr w:rsidR="008C46BC" w14:paraId="004310B0" w14:textId="77777777" w:rsidTr="00FD1F29">
        <w:tblPrEx>
          <w:tblCellMar>
            <w:left w:w="70" w:type="dxa"/>
            <w:right w:w="70" w:type="dxa"/>
          </w:tblCellMar>
        </w:tblPrEx>
        <w:trPr>
          <w:trHeight w:val="685"/>
        </w:trPr>
        <w:tc>
          <w:tcPr>
            <w:tcW w:w="5387" w:type="dxa"/>
            <w:gridSpan w:val="2"/>
            <w:tcBorders>
              <w:top w:val="single" w:sz="4" w:space="0" w:color="000000"/>
              <w:left w:val="single" w:sz="4" w:space="0" w:color="000000"/>
              <w:bottom w:val="single" w:sz="4" w:space="0" w:color="000000"/>
            </w:tcBorders>
          </w:tcPr>
          <w:p w14:paraId="31FD1D3F" w14:textId="5DADADE7" w:rsidR="008C46BC" w:rsidRDefault="00854C12" w:rsidP="00FD1F29">
            <w:pPr>
              <w:snapToGrid w:val="0"/>
              <w:spacing w:before="240"/>
              <w:rPr>
                <w:b/>
                <w:sz w:val="19"/>
                <w:szCs w:val="19"/>
              </w:rPr>
            </w:pPr>
            <w:r w:rsidRPr="00854C12">
              <w:rPr>
                <w:b/>
                <w:sz w:val="19"/>
                <w:szCs w:val="19"/>
              </w:rPr>
              <w:t>Classement du poste</w:t>
            </w:r>
            <w:r w:rsidR="00FD1F29">
              <w:rPr>
                <w:b/>
                <w:sz w:val="19"/>
                <w:szCs w:val="19"/>
              </w:rPr>
              <w:t xml:space="preserve"> parcours professionnel : </w:t>
            </w:r>
            <w:r w:rsidR="00EC181F" w:rsidRPr="00EC181F">
              <w:rPr>
                <w:b/>
                <w:sz w:val="19"/>
                <w:szCs w:val="19"/>
              </w:rPr>
              <w:t>PP1</w:t>
            </w:r>
          </w:p>
        </w:tc>
        <w:tc>
          <w:tcPr>
            <w:tcW w:w="4019" w:type="dxa"/>
            <w:gridSpan w:val="4"/>
            <w:tcBorders>
              <w:top w:val="single" w:sz="4" w:space="0" w:color="000000"/>
              <w:left w:val="single" w:sz="4" w:space="0" w:color="000000"/>
              <w:bottom w:val="single" w:sz="4" w:space="0" w:color="000000"/>
              <w:right w:val="single" w:sz="4" w:space="0" w:color="000000"/>
            </w:tcBorders>
          </w:tcPr>
          <w:p w14:paraId="5657C590" w14:textId="34306B68" w:rsidR="008C46BC" w:rsidRPr="003B6AB0" w:rsidRDefault="00FD1F29">
            <w:pPr>
              <w:pStyle w:val="Corpsdetexte31"/>
              <w:snapToGrid w:val="0"/>
              <w:rPr>
                <w:sz w:val="18"/>
                <w:szCs w:val="18"/>
              </w:rPr>
            </w:pPr>
            <w:r>
              <w:rPr>
                <w:sz w:val="19"/>
                <w:szCs w:val="19"/>
              </w:rPr>
              <w:t xml:space="preserve">Groupe </w:t>
            </w:r>
            <w:proofErr w:type="gramStart"/>
            <w:r>
              <w:rPr>
                <w:sz w:val="19"/>
                <w:szCs w:val="19"/>
              </w:rPr>
              <w:t xml:space="preserve">RIFSEEP  </w:t>
            </w:r>
            <w:r w:rsidR="00EC181F">
              <w:rPr>
                <w:sz w:val="19"/>
                <w:szCs w:val="19"/>
              </w:rPr>
              <w:t>Ingénieur</w:t>
            </w:r>
            <w:proofErr w:type="gramEnd"/>
            <w:r w:rsidR="00EC181F">
              <w:rPr>
                <w:sz w:val="19"/>
                <w:szCs w:val="19"/>
              </w:rPr>
              <w:t xml:space="preserve"> d’études </w:t>
            </w:r>
            <w:r w:rsidRPr="00EC181F">
              <w:rPr>
                <w:sz w:val="19"/>
                <w:szCs w:val="19"/>
              </w:rPr>
              <w:t>G</w:t>
            </w:r>
            <w:r w:rsidR="00EC181F" w:rsidRPr="00EC181F">
              <w:rPr>
                <w:sz w:val="19"/>
                <w:szCs w:val="19"/>
              </w:rPr>
              <w:t>2 /Attaché d’administration G3</w:t>
            </w:r>
            <w:r w:rsidR="00854C12">
              <w:rPr>
                <w:sz w:val="19"/>
                <w:szCs w:val="19"/>
              </w:rPr>
              <w:tab/>
            </w:r>
          </w:p>
        </w:tc>
      </w:tr>
      <w:tr w:rsidR="00AD3FD9" w14:paraId="6E4477E9" w14:textId="77777777" w:rsidTr="00C01AF5">
        <w:tblPrEx>
          <w:tblCellMar>
            <w:left w:w="70" w:type="dxa"/>
            <w:right w:w="70" w:type="dxa"/>
          </w:tblCellMar>
        </w:tblPrEx>
        <w:trPr>
          <w:trHeight w:val="685"/>
        </w:trPr>
        <w:tc>
          <w:tcPr>
            <w:tcW w:w="9406" w:type="dxa"/>
            <w:gridSpan w:val="6"/>
            <w:tcBorders>
              <w:top w:val="single" w:sz="4" w:space="0" w:color="000000"/>
              <w:left w:val="single" w:sz="4" w:space="0" w:color="000000"/>
              <w:bottom w:val="single" w:sz="4" w:space="0" w:color="000000"/>
              <w:right w:val="single" w:sz="4" w:space="0" w:color="000000"/>
            </w:tcBorders>
          </w:tcPr>
          <w:p w14:paraId="27E3EE94" w14:textId="0A29851A" w:rsidR="00AD3FD9" w:rsidRPr="003B6AB0" w:rsidRDefault="00AD3FD9" w:rsidP="00C319D6">
            <w:pPr>
              <w:pStyle w:val="Corpsdetexte31"/>
              <w:snapToGrid w:val="0"/>
              <w:rPr>
                <w:sz w:val="18"/>
                <w:szCs w:val="18"/>
              </w:rPr>
            </w:pPr>
            <w:r>
              <w:rPr>
                <w:sz w:val="18"/>
                <w:szCs w:val="18"/>
              </w:rPr>
              <w:t xml:space="preserve">Poste vacant </w:t>
            </w:r>
          </w:p>
        </w:tc>
      </w:tr>
      <w:tr w:rsidR="008C46BC" w14:paraId="086FE134" w14:textId="77777777" w:rsidTr="00412A86">
        <w:tblPrEx>
          <w:tblCellMar>
            <w:left w:w="70" w:type="dxa"/>
            <w:right w:w="70" w:type="dxa"/>
          </w:tblCellMar>
        </w:tblPrEx>
        <w:trPr>
          <w:trHeight w:val="953"/>
        </w:trPr>
        <w:tc>
          <w:tcPr>
            <w:tcW w:w="2552" w:type="dxa"/>
            <w:tcBorders>
              <w:top w:val="single" w:sz="4" w:space="0" w:color="000000"/>
              <w:left w:val="single" w:sz="4" w:space="0" w:color="000000"/>
              <w:bottom w:val="single" w:sz="4" w:space="0" w:color="000000"/>
            </w:tcBorders>
          </w:tcPr>
          <w:p w14:paraId="53B90D32" w14:textId="77777777" w:rsidR="008C46BC" w:rsidRDefault="008C46BC">
            <w:pPr>
              <w:snapToGrid w:val="0"/>
              <w:spacing w:before="120" w:after="120"/>
              <w:ind w:right="125"/>
              <w:rPr>
                <w:b/>
                <w:bCs/>
                <w:sz w:val="19"/>
                <w:szCs w:val="19"/>
              </w:rPr>
            </w:pPr>
            <w:r>
              <w:rPr>
                <w:b/>
                <w:bCs/>
                <w:sz w:val="19"/>
                <w:szCs w:val="19"/>
              </w:rPr>
              <w:t>Présentation de l’environnement professionnel</w:t>
            </w:r>
          </w:p>
        </w:tc>
        <w:tc>
          <w:tcPr>
            <w:tcW w:w="6854" w:type="dxa"/>
            <w:gridSpan w:val="5"/>
            <w:tcBorders>
              <w:top w:val="single" w:sz="4" w:space="0" w:color="000000"/>
              <w:left w:val="single" w:sz="4" w:space="0" w:color="000000"/>
              <w:bottom w:val="single" w:sz="4" w:space="0" w:color="000000"/>
              <w:right w:val="single" w:sz="4" w:space="0" w:color="000000"/>
            </w:tcBorders>
          </w:tcPr>
          <w:p w14:paraId="7D3C1233" w14:textId="77777777" w:rsidR="00FD1F29" w:rsidRDefault="008C5360" w:rsidP="008C5360">
            <w:pPr>
              <w:keepNext/>
              <w:keepLines/>
              <w:suppressAutoHyphens w:val="0"/>
              <w:spacing w:before="50" w:after="50"/>
              <w:jc w:val="both"/>
              <w:rPr>
                <w:szCs w:val="20"/>
              </w:rPr>
            </w:pPr>
            <w:r w:rsidRPr="002510AD">
              <w:rPr>
                <w:szCs w:val="20"/>
              </w:rPr>
              <w:t>L'Ecole nationale vétérinaire d'Alfort (</w:t>
            </w:r>
            <w:proofErr w:type="spellStart"/>
            <w:r w:rsidRPr="002510AD">
              <w:rPr>
                <w:szCs w:val="20"/>
              </w:rPr>
              <w:t>EnvA</w:t>
            </w:r>
            <w:proofErr w:type="spellEnd"/>
            <w:r w:rsidRPr="002510AD">
              <w:rPr>
                <w:szCs w:val="20"/>
              </w:rPr>
              <w:t xml:space="preserve">) est un établissement public administratif d'enseignement supérieur et de recherche relevant du Ministère de l’Agriculture, qui entretient des liens forts avec son environnement scientifique et universitaire (ANSES, INRA, UPEC, INSERM…). Elle forme près de </w:t>
            </w:r>
            <w:r w:rsidR="00FD1F29">
              <w:rPr>
                <w:szCs w:val="20"/>
              </w:rPr>
              <w:t>8</w:t>
            </w:r>
            <w:r w:rsidRPr="002510AD">
              <w:rPr>
                <w:szCs w:val="20"/>
              </w:rPr>
              <w:t xml:space="preserve">00 élèves répartis en 5 promotions. Les enseignements interviennent sur </w:t>
            </w:r>
            <w:r w:rsidR="00FD1F29">
              <w:rPr>
                <w:szCs w:val="20"/>
              </w:rPr>
              <w:t>deux</w:t>
            </w:r>
            <w:r w:rsidRPr="002510AD">
              <w:rPr>
                <w:szCs w:val="20"/>
              </w:rPr>
              <w:t xml:space="preserve"> sites : à Maisons-Alfort (Val-de-Marne)</w:t>
            </w:r>
            <w:r w:rsidR="00FD1F29">
              <w:rPr>
                <w:szCs w:val="20"/>
              </w:rPr>
              <w:t xml:space="preserve"> et</w:t>
            </w:r>
            <w:r w:rsidRPr="002510AD">
              <w:rPr>
                <w:szCs w:val="20"/>
              </w:rPr>
              <w:t xml:space="preserve"> au Centre d'Imagerie et de Recherche sur les Affections Locomotrices Equines (CIRALE) à Goustranville (Calvados)</w:t>
            </w:r>
            <w:r w:rsidR="00FD1F29">
              <w:rPr>
                <w:szCs w:val="20"/>
              </w:rPr>
              <w:t>.</w:t>
            </w:r>
          </w:p>
          <w:p w14:paraId="049322F8" w14:textId="77777777" w:rsidR="008C5360" w:rsidRPr="002510AD" w:rsidRDefault="008C5360" w:rsidP="008C5360">
            <w:pPr>
              <w:keepNext/>
              <w:keepLines/>
              <w:suppressAutoHyphens w:val="0"/>
              <w:spacing w:before="50" w:after="50"/>
              <w:jc w:val="both"/>
              <w:rPr>
                <w:szCs w:val="20"/>
              </w:rPr>
            </w:pPr>
            <w:r w:rsidRPr="002510AD">
              <w:rPr>
                <w:szCs w:val="20"/>
              </w:rPr>
              <w:t>Installée sur un site de 10 hectares, elle fonctionne grâce à 400 personnels enseignants-chercheurs, administratifs et techniques titulaires et contractuels.</w:t>
            </w:r>
          </w:p>
          <w:p w14:paraId="1BB14210" w14:textId="77777777" w:rsidR="002510AD" w:rsidRPr="009A7E5B" w:rsidRDefault="008C5360" w:rsidP="002510AD">
            <w:pPr>
              <w:snapToGrid w:val="0"/>
              <w:ind w:right="125"/>
              <w:jc w:val="both"/>
              <w:rPr>
                <w:szCs w:val="20"/>
              </w:rPr>
            </w:pPr>
            <w:r w:rsidRPr="009A7E5B">
              <w:rPr>
                <w:szCs w:val="20"/>
              </w:rPr>
              <w:t>Son budget annuel s’établit à environ 20 millions d’euros.</w:t>
            </w:r>
          </w:p>
          <w:p w14:paraId="7A401B9A" w14:textId="77777777" w:rsidR="00AF4CD3" w:rsidRPr="002510AD" w:rsidRDefault="00AF4CD3" w:rsidP="002510AD">
            <w:pPr>
              <w:snapToGrid w:val="0"/>
              <w:ind w:right="125"/>
              <w:jc w:val="both"/>
              <w:rPr>
                <w:szCs w:val="20"/>
              </w:rPr>
            </w:pPr>
            <w:r w:rsidRPr="009A7E5B">
              <w:rPr>
                <w:szCs w:val="20"/>
              </w:rPr>
              <w:t xml:space="preserve">Environ </w:t>
            </w:r>
            <w:r w:rsidR="002510AD" w:rsidRPr="009A7E5B">
              <w:rPr>
                <w:szCs w:val="20"/>
              </w:rPr>
              <w:t>9</w:t>
            </w:r>
            <w:r w:rsidRPr="009A7E5B">
              <w:rPr>
                <w:szCs w:val="20"/>
              </w:rPr>
              <w:t>0 marchés publics sont en cours d’exécution</w:t>
            </w:r>
            <w:r w:rsidR="0058444D" w:rsidRPr="009A7E5B">
              <w:rPr>
                <w:szCs w:val="20"/>
              </w:rPr>
              <w:t xml:space="preserve"> pour un montant </w:t>
            </w:r>
            <w:r w:rsidR="002510AD" w:rsidRPr="009A7E5B">
              <w:rPr>
                <w:szCs w:val="20"/>
              </w:rPr>
              <w:t xml:space="preserve">annuel </w:t>
            </w:r>
            <w:r w:rsidR="0058444D" w:rsidRPr="009A7E5B">
              <w:rPr>
                <w:szCs w:val="20"/>
              </w:rPr>
              <w:t>d’environ</w:t>
            </w:r>
            <w:r w:rsidR="002510AD" w:rsidRPr="009A7E5B">
              <w:rPr>
                <w:szCs w:val="20"/>
              </w:rPr>
              <w:t xml:space="preserve"> 4,4M€.</w:t>
            </w:r>
          </w:p>
        </w:tc>
      </w:tr>
      <w:tr w:rsidR="008F2672" w14:paraId="10E238E6" w14:textId="77777777" w:rsidTr="00412A86">
        <w:tblPrEx>
          <w:tblCellMar>
            <w:left w:w="70" w:type="dxa"/>
            <w:right w:w="70" w:type="dxa"/>
          </w:tblCellMar>
        </w:tblPrEx>
        <w:trPr>
          <w:trHeight w:val="306"/>
        </w:trPr>
        <w:tc>
          <w:tcPr>
            <w:tcW w:w="2552" w:type="dxa"/>
            <w:tcBorders>
              <w:left w:val="single" w:sz="4" w:space="0" w:color="000000"/>
              <w:bottom w:val="single" w:sz="4" w:space="0" w:color="000000"/>
            </w:tcBorders>
          </w:tcPr>
          <w:p w14:paraId="37FD876A" w14:textId="61A8C292" w:rsidR="008F2672" w:rsidRDefault="0031787E">
            <w:pPr>
              <w:snapToGrid w:val="0"/>
              <w:spacing w:before="120" w:after="120"/>
              <w:ind w:right="125"/>
              <w:rPr>
                <w:b/>
                <w:bCs/>
                <w:sz w:val="19"/>
                <w:szCs w:val="19"/>
              </w:rPr>
            </w:pPr>
            <w:r>
              <w:rPr>
                <w:b/>
                <w:noProof/>
                <w:color w:val="000009"/>
              </w:rPr>
              <w:drawing>
                <wp:inline distT="0" distB="0" distL="0" distR="0" wp14:anchorId="03E66119" wp14:editId="3827A42B">
                  <wp:extent cx="1143000"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b/>
                <w:szCs w:val="20"/>
              </w:rPr>
              <w:t>« Alfort + » : l</w:t>
            </w:r>
            <w:r w:rsidRPr="002070FA">
              <w:rPr>
                <w:b/>
                <w:szCs w:val="20"/>
              </w:rPr>
              <w:t>es engagements de l'</w:t>
            </w:r>
            <w:proofErr w:type="spellStart"/>
            <w:r w:rsidRPr="002070FA">
              <w:rPr>
                <w:b/>
                <w:szCs w:val="20"/>
              </w:rPr>
              <w:t>EnvA</w:t>
            </w:r>
            <w:proofErr w:type="spellEnd"/>
            <w:r>
              <w:rPr>
                <w:b/>
                <w:szCs w:val="20"/>
              </w:rPr>
              <w:t xml:space="preserve"> en matière RH</w:t>
            </w:r>
          </w:p>
        </w:tc>
        <w:tc>
          <w:tcPr>
            <w:tcW w:w="6854" w:type="dxa"/>
            <w:gridSpan w:val="5"/>
            <w:tcBorders>
              <w:left w:val="single" w:sz="4" w:space="0" w:color="000000"/>
              <w:bottom w:val="single" w:sz="4" w:space="0" w:color="000000"/>
              <w:right w:val="single" w:sz="4" w:space="0" w:color="000000"/>
            </w:tcBorders>
            <w:vAlign w:val="center"/>
          </w:tcPr>
          <w:p w14:paraId="4F32FD44" w14:textId="77777777" w:rsidR="0031787E" w:rsidRPr="002070FA" w:rsidRDefault="0031787E" w:rsidP="0031787E">
            <w:pPr>
              <w:pStyle w:val="TableParagraph"/>
              <w:spacing w:before="1"/>
              <w:rPr>
                <w:b/>
                <w:sz w:val="20"/>
                <w:szCs w:val="20"/>
                <w:lang w:val="fr-FR"/>
              </w:rPr>
            </w:pPr>
            <w:r w:rsidRPr="002070FA">
              <w:rPr>
                <w:b/>
                <w:sz w:val="20"/>
                <w:szCs w:val="20"/>
                <w:lang w:val="fr-FR"/>
              </w:rPr>
              <w:t>1/ Inclusion, bienveillance et vigilance.</w:t>
            </w:r>
          </w:p>
          <w:p w14:paraId="722AEE5F" w14:textId="77777777" w:rsidR="0031787E" w:rsidRPr="002070FA" w:rsidRDefault="0031787E" w:rsidP="0031787E">
            <w:pPr>
              <w:pStyle w:val="TableParagraph"/>
              <w:spacing w:before="1"/>
              <w:rPr>
                <w:sz w:val="20"/>
                <w:szCs w:val="20"/>
                <w:lang w:val="fr-FR"/>
              </w:rPr>
            </w:pPr>
            <w:r w:rsidRPr="002070FA">
              <w:rPr>
                <w:sz w:val="20"/>
                <w:szCs w:val="20"/>
                <w:lang w:val="fr-FR"/>
              </w:rPr>
              <w:t>L’</w:t>
            </w:r>
            <w:proofErr w:type="spellStart"/>
            <w:r w:rsidRPr="002070FA">
              <w:rPr>
                <w:sz w:val="20"/>
                <w:szCs w:val="20"/>
                <w:lang w:val="fr-FR"/>
              </w:rPr>
              <w:t>EnvA</w:t>
            </w:r>
            <w:proofErr w:type="spellEnd"/>
            <w:r w:rsidRPr="002070FA">
              <w:rPr>
                <w:sz w:val="20"/>
                <w:szCs w:val="20"/>
                <w:lang w:val="fr-FR"/>
              </w:rPr>
              <w:t xml:space="preserve"> affirme son engagement en matière d’égalité professionnelle et de diversité. En clair, la lutte contre le sexisme, contre toute forme de discrimination ou de harcèlement, contre la </w:t>
            </w:r>
            <w:proofErr w:type="spellStart"/>
            <w:r w:rsidRPr="002070FA">
              <w:rPr>
                <w:sz w:val="20"/>
                <w:szCs w:val="20"/>
                <w:lang w:val="fr-FR"/>
              </w:rPr>
              <w:t>surconnexion</w:t>
            </w:r>
            <w:proofErr w:type="spellEnd"/>
            <w:r w:rsidRPr="002070FA">
              <w:rPr>
                <w:sz w:val="20"/>
                <w:szCs w:val="20"/>
                <w:lang w:val="fr-FR"/>
              </w:rPr>
              <w:t>, pour la promotion de valeurs de tolérance et d’exemplarité.</w:t>
            </w:r>
          </w:p>
          <w:p w14:paraId="74079617" w14:textId="77777777" w:rsidR="0031787E" w:rsidRPr="002070FA" w:rsidRDefault="0031787E" w:rsidP="0031787E">
            <w:pPr>
              <w:pStyle w:val="TableParagraph"/>
              <w:spacing w:before="1"/>
              <w:rPr>
                <w:b/>
                <w:sz w:val="20"/>
                <w:szCs w:val="20"/>
                <w:lang w:val="fr-FR"/>
              </w:rPr>
            </w:pPr>
            <w:r w:rsidRPr="002070FA">
              <w:rPr>
                <w:b/>
                <w:sz w:val="20"/>
                <w:szCs w:val="20"/>
                <w:lang w:val="fr-FR"/>
              </w:rPr>
              <w:t>2/ En faveur des contractuels</w:t>
            </w:r>
          </w:p>
          <w:p w14:paraId="6215D9A1" w14:textId="77777777" w:rsidR="0031787E" w:rsidRDefault="0031787E" w:rsidP="0031787E">
            <w:pPr>
              <w:pStyle w:val="TableParagraph"/>
              <w:spacing w:before="1"/>
              <w:rPr>
                <w:sz w:val="20"/>
                <w:szCs w:val="20"/>
                <w:lang w:val="fr-FR"/>
              </w:rPr>
            </w:pPr>
            <w:r w:rsidRPr="002070FA">
              <w:rPr>
                <w:sz w:val="20"/>
                <w:szCs w:val="20"/>
                <w:lang w:val="fr-FR"/>
              </w:rPr>
              <w:t>L'</w:t>
            </w:r>
            <w:proofErr w:type="spellStart"/>
            <w:r w:rsidRPr="002070FA">
              <w:rPr>
                <w:sz w:val="20"/>
                <w:szCs w:val="20"/>
                <w:lang w:val="fr-FR"/>
              </w:rPr>
              <w:t>EnvA</w:t>
            </w:r>
            <w:proofErr w:type="spellEnd"/>
            <w:r w:rsidRPr="002070FA">
              <w:rPr>
                <w:sz w:val="20"/>
                <w:szCs w:val="20"/>
                <w:lang w:val="fr-FR"/>
              </w:rPr>
              <w:t xml:space="preserve"> met en œuvre une charte de gestion des contractuels, un véritable outil de transparence et d’information. </w:t>
            </w:r>
          </w:p>
          <w:p w14:paraId="7B4AD744" w14:textId="77777777" w:rsidR="0031787E" w:rsidRPr="002070FA" w:rsidRDefault="0031787E" w:rsidP="0031787E">
            <w:pPr>
              <w:pStyle w:val="TableParagraph"/>
              <w:spacing w:before="1"/>
              <w:rPr>
                <w:b/>
                <w:sz w:val="20"/>
                <w:szCs w:val="20"/>
                <w:lang w:val="fr-FR"/>
              </w:rPr>
            </w:pPr>
            <w:r w:rsidRPr="002070FA">
              <w:rPr>
                <w:b/>
                <w:sz w:val="20"/>
                <w:szCs w:val="20"/>
                <w:lang w:val="fr-FR"/>
              </w:rPr>
              <w:t xml:space="preserve">3/ Un plan de formation </w:t>
            </w:r>
            <w:proofErr w:type="spellStart"/>
            <w:r w:rsidRPr="002070FA">
              <w:rPr>
                <w:b/>
                <w:sz w:val="20"/>
                <w:szCs w:val="20"/>
                <w:lang w:val="fr-FR"/>
              </w:rPr>
              <w:t>bi-annuel</w:t>
            </w:r>
            <w:proofErr w:type="spellEnd"/>
          </w:p>
          <w:p w14:paraId="01314D7C" w14:textId="77777777" w:rsidR="0031787E" w:rsidRPr="002070FA" w:rsidRDefault="0031787E" w:rsidP="0031787E">
            <w:pPr>
              <w:pStyle w:val="TableParagraph"/>
              <w:spacing w:before="1"/>
              <w:rPr>
                <w:sz w:val="20"/>
                <w:szCs w:val="20"/>
                <w:lang w:val="fr-FR"/>
              </w:rPr>
            </w:pPr>
            <w:r w:rsidRPr="002070FA">
              <w:rPr>
                <w:sz w:val="20"/>
                <w:szCs w:val="20"/>
                <w:lang w:val="fr-FR"/>
              </w:rPr>
              <w:t>Accompagner les carrières, accompagner les personnels dans leurs souhaits d’évolution, accompagner la professionnalisation dans certains secteurs d’activité, les objectifs de l’</w:t>
            </w:r>
            <w:proofErr w:type="spellStart"/>
            <w:r w:rsidRPr="002070FA">
              <w:rPr>
                <w:sz w:val="20"/>
                <w:szCs w:val="20"/>
                <w:lang w:val="fr-FR"/>
              </w:rPr>
              <w:t>EnvA</w:t>
            </w:r>
            <w:proofErr w:type="spellEnd"/>
            <w:r w:rsidRPr="002070FA">
              <w:rPr>
                <w:sz w:val="20"/>
                <w:szCs w:val="20"/>
                <w:lang w:val="fr-FR"/>
              </w:rPr>
              <w:t xml:space="preserve"> en matière de formation sont ambitieux.</w:t>
            </w:r>
          </w:p>
          <w:p w14:paraId="1440B165" w14:textId="77777777" w:rsidR="008F2672" w:rsidRPr="008F2672" w:rsidRDefault="008F2672" w:rsidP="00C161DE">
            <w:pPr>
              <w:snapToGrid w:val="0"/>
              <w:ind w:right="125"/>
              <w:jc w:val="both"/>
              <w:rPr>
                <w:szCs w:val="20"/>
                <w:lang w:eastAsia="fr-FR"/>
              </w:rPr>
            </w:pPr>
          </w:p>
        </w:tc>
      </w:tr>
      <w:tr w:rsidR="008C46BC" w14:paraId="7A57ECD9" w14:textId="77777777" w:rsidTr="00412A86">
        <w:tblPrEx>
          <w:tblCellMar>
            <w:left w:w="70" w:type="dxa"/>
            <w:right w:w="70" w:type="dxa"/>
          </w:tblCellMar>
        </w:tblPrEx>
        <w:trPr>
          <w:trHeight w:val="306"/>
        </w:trPr>
        <w:tc>
          <w:tcPr>
            <w:tcW w:w="2552" w:type="dxa"/>
            <w:tcBorders>
              <w:left w:val="single" w:sz="4" w:space="0" w:color="000000"/>
              <w:bottom w:val="single" w:sz="4" w:space="0" w:color="000000"/>
            </w:tcBorders>
          </w:tcPr>
          <w:p w14:paraId="471F3DEA" w14:textId="77777777" w:rsidR="008C46BC" w:rsidRDefault="008C46BC">
            <w:pPr>
              <w:snapToGrid w:val="0"/>
              <w:spacing w:before="120" w:after="120"/>
              <w:ind w:right="125"/>
              <w:rPr>
                <w:b/>
                <w:bCs/>
                <w:sz w:val="19"/>
                <w:szCs w:val="19"/>
              </w:rPr>
            </w:pPr>
            <w:r>
              <w:rPr>
                <w:b/>
                <w:bCs/>
                <w:sz w:val="19"/>
                <w:szCs w:val="19"/>
              </w:rPr>
              <w:t>Objectifs du poste</w:t>
            </w:r>
          </w:p>
        </w:tc>
        <w:tc>
          <w:tcPr>
            <w:tcW w:w="6854" w:type="dxa"/>
            <w:gridSpan w:val="5"/>
            <w:tcBorders>
              <w:left w:val="single" w:sz="4" w:space="0" w:color="000000"/>
              <w:bottom w:val="single" w:sz="4" w:space="0" w:color="000000"/>
              <w:right w:val="single" w:sz="4" w:space="0" w:color="000000"/>
            </w:tcBorders>
            <w:vAlign w:val="center"/>
          </w:tcPr>
          <w:p w14:paraId="0DD332FE" w14:textId="22A39443" w:rsidR="009A7E5B" w:rsidRPr="00EC181F" w:rsidRDefault="008F2672" w:rsidP="00C161DE">
            <w:pPr>
              <w:snapToGrid w:val="0"/>
              <w:ind w:right="125"/>
              <w:jc w:val="both"/>
              <w:rPr>
                <w:szCs w:val="20"/>
                <w:lang w:eastAsia="fr-FR"/>
              </w:rPr>
            </w:pPr>
            <w:r w:rsidRPr="008F2672">
              <w:rPr>
                <w:szCs w:val="20"/>
                <w:lang w:eastAsia="fr-FR"/>
              </w:rPr>
              <w:t xml:space="preserve">Au sein du secrétariat général, sous l’autorité </w:t>
            </w:r>
            <w:r>
              <w:rPr>
                <w:szCs w:val="20"/>
                <w:lang w:eastAsia="fr-FR"/>
              </w:rPr>
              <w:t>du</w:t>
            </w:r>
            <w:r w:rsidRPr="008F2672">
              <w:rPr>
                <w:szCs w:val="20"/>
                <w:lang w:eastAsia="fr-FR"/>
              </w:rPr>
              <w:t xml:space="preserve"> chef du service juridique, et en lien étroit avec la direction des affaires financières et le contrôle de gestion, le </w:t>
            </w:r>
            <w:r>
              <w:rPr>
                <w:szCs w:val="20"/>
                <w:lang w:eastAsia="fr-FR"/>
              </w:rPr>
              <w:t xml:space="preserve">juriste </w:t>
            </w:r>
            <w:r w:rsidRPr="008F2672">
              <w:rPr>
                <w:szCs w:val="20"/>
                <w:lang w:eastAsia="fr-FR"/>
              </w:rPr>
              <w:t xml:space="preserve">chargé achats-marchés publics élabore et met en œuvre </w:t>
            </w:r>
            <w:r w:rsidRPr="008F2672">
              <w:rPr>
                <w:szCs w:val="20"/>
                <w:lang w:eastAsia="fr-FR"/>
              </w:rPr>
              <w:lastRenderedPageBreak/>
              <w:t>la stratégie achat de l’établissement, dans le respect des règles de la commande publique, en contribuant à sa performance.</w:t>
            </w:r>
          </w:p>
        </w:tc>
      </w:tr>
      <w:tr w:rsidR="007B57FD" w14:paraId="72CE393E" w14:textId="77777777" w:rsidTr="00412A86">
        <w:tblPrEx>
          <w:tblCellMar>
            <w:left w:w="70" w:type="dxa"/>
            <w:right w:w="70" w:type="dxa"/>
          </w:tblCellMar>
        </w:tblPrEx>
        <w:trPr>
          <w:trHeight w:val="793"/>
        </w:trPr>
        <w:tc>
          <w:tcPr>
            <w:tcW w:w="2552" w:type="dxa"/>
            <w:tcBorders>
              <w:left w:val="single" w:sz="4" w:space="0" w:color="000000"/>
              <w:bottom w:val="single" w:sz="4" w:space="0" w:color="000000"/>
            </w:tcBorders>
          </w:tcPr>
          <w:p w14:paraId="1A2631FA" w14:textId="704599F7" w:rsidR="007B57FD" w:rsidRDefault="007B57FD" w:rsidP="009A7E5B">
            <w:pPr>
              <w:pStyle w:val="Corpsdetexte"/>
              <w:spacing w:after="120"/>
              <w:ind w:right="125"/>
              <w:rPr>
                <w:b/>
                <w:bCs/>
                <w:sz w:val="19"/>
                <w:szCs w:val="19"/>
              </w:rPr>
            </w:pPr>
            <w:r>
              <w:rPr>
                <w:b/>
                <w:bCs/>
                <w:sz w:val="19"/>
                <w:szCs w:val="19"/>
              </w:rPr>
              <w:lastRenderedPageBreak/>
              <w:t xml:space="preserve">Description des </w:t>
            </w:r>
            <w:r w:rsidR="00D32B47">
              <w:rPr>
                <w:b/>
                <w:bCs/>
                <w:sz w:val="19"/>
                <w:szCs w:val="19"/>
              </w:rPr>
              <w:t>activités principales</w:t>
            </w:r>
          </w:p>
        </w:tc>
        <w:tc>
          <w:tcPr>
            <w:tcW w:w="6854" w:type="dxa"/>
            <w:gridSpan w:val="5"/>
            <w:tcBorders>
              <w:left w:val="single" w:sz="4" w:space="0" w:color="000000"/>
              <w:bottom w:val="single" w:sz="4" w:space="0" w:color="000000"/>
              <w:right w:val="single" w:sz="4" w:space="0" w:color="000000"/>
            </w:tcBorders>
          </w:tcPr>
          <w:p w14:paraId="607B3887" w14:textId="195D1BC1" w:rsidR="007315B3" w:rsidRDefault="007315B3" w:rsidP="007315B3">
            <w:pPr>
              <w:pStyle w:val="En-tte"/>
              <w:jc w:val="both"/>
              <w:rPr>
                <w:rFonts w:ascii="Arial" w:hAnsi="Arial" w:cs="Arial"/>
                <w:sz w:val="20"/>
                <w:szCs w:val="18"/>
              </w:rPr>
            </w:pPr>
            <w:r>
              <w:rPr>
                <w:rFonts w:ascii="Arial" w:hAnsi="Arial" w:cs="Arial"/>
                <w:sz w:val="20"/>
                <w:szCs w:val="18"/>
              </w:rPr>
              <w:t xml:space="preserve">Sous l’autorité du chef du service juridique, le juriste chargé des achats et des marchés exerce les missions suivantes : </w:t>
            </w:r>
          </w:p>
          <w:p w14:paraId="23FE6753" w14:textId="77777777" w:rsidR="007315B3" w:rsidRDefault="007315B3" w:rsidP="007315B3">
            <w:pPr>
              <w:pStyle w:val="En-tte"/>
              <w:jc w:val="both"/>
              <w:rPr>
                <w:rFonts w:ascii="Arial" w:hAnsi="Arial" w:cs="Arial"/>
                <w:sz w:val="20"/>
                <w:szCs w:val="18"/>
              </w:rPr>
            </w:pPr>
          </w:p>
          <w:p w14:paraId="33881070" w14:textId="2F9E2196" w:rsidR="008F2672" w:rsidRPr="00930337" w:rsidRDefault="008F2672" w:rsidP="008F2672">
            <w:pPr>
              <w:pStyle w:val="En-tte"/>
              <w:ind w:left="720" w:hanging="720"/>
              <w:jc w:val="both"/>
              <w:rPr>
                <w:rFonts w:ascii="Arial" w:hAnsi="Arial" w:cs="Arial"/>
                <w:b/>
                <w:sz w:val="20"/>
                <w:szCs w:val="18"/>
              </w:rPr>
            </w:pPr>
            <w:r w:rsidRPr="00930337">
              <w:rPr>
                <w:rFonts w:ascii="Arial" w:hAnsi="Arial" w:cs="Arial"/>
                <w:b/>
                <w:sz w:val="20"/>
                <w:szCs w:val="18"/>
              </w:rPr>
              <w:t>Missions principales :</w:t>
            </w:r>
          </w:p>
          <w:p w14:paraId="05EB63D8" w14:textId="77777777"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 xml:space="preserve">Conseiller et apporter son expertise économique, technique et juridique aux services dans une optique d’optimisation économique de l’achat </w:t>
            </w:r>
            <w:proofErr w:type="gramStart"/>
            <w:r w:rsidRPr="008F2672">
              <w:rPr>
                <w:rFonts w:ascii="Arial" w:hAnsi="Arial" w:cs="Arial"/>
                <w:sz w:val="20"/>
                <w:szCs w:val="18"/>
              </w:rPr>
              <w:t>public:</w:t>
            </w:r>
            <w:proofErr w:type="gramEnd"/>
            <w:r w:rsidRPr="008F2672">
              <w:rPr>
                <w:rFonts w:ascii="Arial" w:hAnsi="Arial" w:cs="Arial"/>
                <w:sz w:val="20"/>
                <w:szCs w:val="18"/>
              </w:rPr>
              <w:t xml:space="preserve"> </w:t>
            </w:r>
          </w:p>
          <w:p w14:paraId="32621010" w14:textId="1C6CAB41"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Participer à l’évaluation et à la définition du besoin</w:t>
            </w:r>
            <w:r w:rsidR="00CA02DB">
              <w:rPr>
                <w:rFonts w:ascii="Arial" w:hAnsi="Arial" w:cs="Arial"/>
                <w:sz w:val="20"/>
                <w:szCs w:val="18"/>
              </w:rPr>
              <w:t xml:space="preserve"> en mobilisant </w:t>
            </w:r>
            <w:r w:rsidR="009E1230">
              <w:rPr>
                <w:rFonts w:ascii="Arial" w:hAnsi="Arial" w:cs="Arial"/>
                <w:sz w:val="20"/>
                <w:szCs w:val="18"/>
              </w:rPr>
              <w:t>divers</w:t>
            </w:r>
            <w:r w:rsidR="00CA02DB">
              <w:rPr>
                <w:rFonts w:ascii="Arial" w:hAnsi="Arial" w:cs="Arial"/>
                <w:sz w:val="20"/>
                <w:szCs w:val="18"/>
              </w:rPr>
              <w:t xml:space="preserve"> outils tels que le sourçage</w:t>
            </w:r>
            <w:r w:rsidR="009E1230">
              <w:rPr>
                <w:rFonts w:ascii="Arial" w:hAnsi="Arial" w:cs="Arial"/>
                <w:sz w:val="20"/>
                <w:szCs w:val="18"/>
              </w:rPr>
              <w:t xml:space="preserve"> et le parangonnage.</w:t>
            </w:r>
          </w:p>
          <w:p w14:paraId="770F114C" w14:textId="77777777"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 xml:space="preserve">Piloter des projets achats en déterminant la démarche contractuelle et le planning associé </w:t>
            </w:r>
          </w:p>
          <w:p w14:paraId="1817887F" w14:textId="77777777"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 xml:space="preserve">Contribuer à la rédaction des pièces du dossier de consultation des entreprises, en lien étroit avec les prescripteurs, élaborer une grille d'analyse des offres </w:t>
            </w:r>
          </w:p>
          <w:p w14:paraId="59DC3B97" w14:textId="6CA16A11"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009E1230" w:rsidRPr="008F2672">
              <w:rPr>
                <w:rFonts w:ascii="Arial" w:hAnsi="Arial" w:cs="Arial"/>
                <w:sz w:val="20"/>
                <w:szCs w:val="18"/>
              </w:rPr>
              <w:tab/>
              <w:t xml:space="preserve"> Analyser</w:t>
            </w:r>
            <w:r w:rsidRPr="008F2672">
              <w:rPr>
                <w:rFonts w:ascii="Arial" w:hAnsi="Arial" w:cs="Arial"/>
                <w:sz w:val="20"/>
                <w:szCs w:val="18"/>
              </w:rPr>
              <w:t>, négocier, et sélectionner les offres en collaboration avec le service concerné</w:t>
            </w:r>
          </w:p>
          <w:p w14:paraId="70E6E652" w14:textId="5E5B87B6"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Promouvoir les marchés disponibles</w:t>
            </w:r>
            <w:r w:rsidR="009E1230">
              <w:rPr>
                <w:rFonts w:ascii="Arial" w:hAnsi="Arial" w:cs="Arial"/>
                <w:sz w:val="20"/>
                <w:szCs w:val="18"/>
              </w:rPr>
              <w:t xml:space="preserve"> (direction des achats de l’Etat, marchés </w:t>
            </w:r>
            <w:proofErr w:type="spellStart"/>
            <w:r w:rsidR="009E1230">
              <w:rPr>
                <w:rFonts w:ascii="Arial" w:hAnsi="Arial" w:cs="Arial"/>
                <w:sz w:val="20"/>
                <w:szCs w:val="18"/>
              </w:rPr>
              <w:t>interécoles</w:t>
            </w:r>
            <w:proofErr w:type="spellEnd"/>
            <w:r w:rsidR="009E1230">
              <w:rPr>
                <w:rFonts w:ascii="Arial" w:hAnsi="Arial" w:cs="Arial"/>
                <w:sz w:val="20"/>
                <w:szCs w:val="18"/>
              </w:rPr>
              <w:t xml:space="preserve"> des ENV)</w:t>
            </w:r>
            <w:r w:rsidRPr="008F2672">
              <w:rPr>
                <w:rFonts w:ascii="Arial" w:hAnsi="Arial" w:cs="Arial"/>
                <w:sz w:val="20"/>
                <w:szCs w:val="18"/>
              </w:rPr>
              <w:t xml:space="preserve"> et la déclinaison de la politique achat de l’Etat, en particulier la démarche des achats responsables et d’innovation </w:t>
            </w:r>
          </w:p>
          <w:p w14:paraId="651EC927" w14:textId="77777777" w:rsidR="008F2672" w:rsidRPr="008F2672" w:rsidRDefault="008F2672" w:rsidP="008F2672">
            <w:pPr>
              <w:pStyle w:val="En-tte"/>
              <w:ind w:left="720"/>
              <w:jc w:val="both"/>
              <w:rPr>
                <w:rFonts w:ascii="Arial" w:hAnsi="Arial" w:cs="Arial"/>
                <w:sz w:val="18"/>
                <w:szCs w:val="18"/>
              </w:rPr>
            </w:pPr>
          </w:p>
          <w:p w14:paraId="6917D6A0" w14:textId="77777777"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 xml:space="preserve">Mesurer la performance de l’achat, dans une démarche d’amélioration continue et formaliser une stratégie achat pour l’établissement </w:t>
            </w:r>
          </w:p>
          <w:p w14:paraId="5291A2D2" w14:textId="77777777"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Recenser les besoins dans le cadre d'une programmation des achats</w:t>
            </w:r>
          </w:p>
          <w:p w14:paraId="3820454E" w14:textId="77777777"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 xml:space="preserve">Elaborer des critères d'évaluation, des outils de pilotage et de </w:t>
            </w:r>
            <w:proofErr w:type="spellStart"/>
            <w:r w:rsidRPr="008F2672">
              <w:rPr>
                <w:rFonts w:ascii="Arial" w:hAnsi="Arial" w:cs="Arial"/>
                <w:sz w:val="20"/>
                <w:szCs w:val="18"/>
              </w:rPr>
              <w:t>reporting</w:t>
            </w:r>
            <w:proofErr w:type="spellEnd"/>
            <w:r w:rsidRPr="008F2672">
              <w:rPr>
                <w:rFonts w:ascii="Arial" w:hAnsi="Arial" w:cs="Arial"/>
                <w:sz w:val="20"/>
                <w:szCs w:val="18"/>
              </w:rPr>
              <w:t xml:space="preserve">, en vue de mesurer les gains qualitatifs et financiers et les leviers de rationalisation possibles </w:t>
            </w:r>
          </w:p>
          <w:p w14:paraId="490F9435" w14:textId="77777777"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 xml:space="preserve">Évaluer la satisfaction des utilisateurs </w:t>
            </w:r>
          </w:p>
          <w:p w14:paraId="75B58B0B" w14:textId="77777777" w:rsidR="008F2672" w:rsidRP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 xml:space="preserve">Mener une veille économique en analysant les marchés fournisseurs (prospection, </w:t>
            </w:r>
            <w:proofErr w:type="spellStart"/>
            <w:r w:rsidRPr="008F2672">
              <w:rPr>
                <w:rFonts w:ascii="Arial" w:hAnsi="Arial" w:cs="Arial"/>
                <w:sz w:val="20"/>
                <w:szCs w:val="18"/>
              </w:rPr>
              <w:t>sourcing</w:t>
            </w:r>
            <w:proofErr w:type="spellEnd"/>
            <w:r w:rsidRPr="008F2672">
              <w:rPr>
                <w:rFonts w:ascii="Arial" w:hAnsi="Arial" w:cs="Arial"/>
                <w:sz w:val="20"/>
                <w:szCs w:val="18"/>
              </w:rPr>
              <w:t>, études commerciales et concurrentielles) sur différents segments d'achats</w:t>
            </w:r>
          </w:p>
          <w:p w14:paraId="50A42460" w14:textId="77777777" w:rsidR="008F2672" w:rsidRPr="008F2672" w:rsidRDefault="008F2672" w:rsidP="008F2672">
            <w:pPr>
              <w:pStyle w:val="En-tte"/>
              <w:ind w:left="211" w:hanging="141"/>
              <w:jc w:val="both"/>
              <w:rPr>
                <w:rFonts w:ascii="Arial" w:hAnsi="Arial" w:cs="Arial"/>
                <w:sz w:val="20"/>
                <w:szCs w:val="18"/>
              </w:rPr>
            </w:pPr>
          </w:p>
          <w:p w14:paraId="4414489F" w14:textId="1F7B86C7" w:rsidR="008F2672" w:rsidRDefault="008F2672" w:rsidP="008F2672">
            <w:pPr>
              <w:pStyle w:val="En-tte"/>
              <w:ind w:left="211" w:hanging="141"/>
              <w:jc w:val="both"/>
              <w:rPr>
                <w:rFonts w:ascii="Arial" w:hAnsi="Arial" w:cs="Arial"/>
                <w:sz w:val="20"/>
                <w:szCs w:val="18"/>
              </w:rPr>
            </w:pPr>
            <w:r w:rsidRPr="008F2672">
              <w:rPr>
                <w:rFonts w:ascii="Arial" w:hAnsi="Arial" w:cs="Arial"/>
                <w:sz w:val="20"/>
                <w:szCs w:val="18"/>
              </w:rPr>
              <w:t>•</w:t>
            </w:r>
            <w:r w:rsidRPr="008F2672">
              <w:rPr>
                <w:rFonts w:ascii="Arial" w:hAnsi="Arial" w:cs="Arial"/>
                <w:sz w:val="20"/>
                <w:szCs w:val="18"/>
              </w:rPr>
              <w:tab/>
              <w:t>Contribuer à l’animation et à la montée en compétences des acteurs impliqués dans l’achat au sein de l’établissement, notamment par la rédaction et la diffusion de référentiels (guides, outils, modèles types…)</w:t>
            </w:r>
          </w:p>
          <w:p w14:paraId="60EE44A0" w14:textId="2A871EE6" w:rsidR="009E1230" w:rsidRPr="008F2672" w:rsidRDefault="009E1230" w:rsidP="008F2672">
            <w:pPr>
              <w:pStyle w:val="En-tte"/>
              <w:ind w:left="211" w:hanging="141"/>
              <w:jc w:val="both"/>
              <w:rPr>
                <w:rFonts w:ascii="Arial" w:hAnsi="Arial" w:cs="Arial"/>
                <w:sz w:val="20"/>
                <w:szCs w:val="18"/>
              </w:rPr>
            </w:pPr>
            <w:r>
              <w:rPr>
                <w:rFonts w:ascii="Arial" w:hAnsi="Arial" w:cs="Arial"/>
                <w:sz w:val="20"/>
                <w:szCs w:val="18"/>
              </w:rPr>
              <w:t>Contribuer avec le chef de service à l’animation du réseau des acheteurs publics du Ministère de l’agriculture et de l’alimentation et des Ecoles nationales vétérinaires.</w:t>
            </w:r>
          </w:p>
          <w:p w14:paraId="5932DC1E" w14:textId="71CE9512" w:rsidR="008F2672" w:rsidRDefault="008F2672" w:rsidP="008F2672">
            <w:pPr>
              <w:pStyle w:val="En-tte"/>
              <w:ind w:left="720"/>
              <w:jc w:val="both"/>
              <w:rPr>
                <w:rFonts w:ascii="Arial" w:hAnsi="Arial" w:cs="Arial"/>
                <w:sz w:val="18"/>
                <w:szCs w:val="18"/>
              </w:rPr>
            </w:pPr>
          </w:p>
          <w:p w14:paraId="1D39BD0A" w14:textId="161B6E42" w:rsidR="007315B3" w:rsidRPr="00930337" w:rsidRDefault="007315B3" w:rsidP="007315B3">
            <w:pPr>
              <w:pStyle w:val="En-tte"/>
              <w:ind w:left="720" w:hanging="650"/>
              <w:jc w:val="both"/>
              <w:rPr>
                <w:rFonts w:ascii="Arial" w:hAnsi="Arial" w:cs="Arial"/>
                <w:b/>
                <w:sz w:val="20"/>
                <w:szCs w:val="18"/>
              </w:rPr>
            </w:pPr>
            <w:r w:rsidRPr="00930337">
              <w:rPr>
                <w:rFonts w:ascii="Arial" w:hAnsi="Arial" w:cs="Arial"/>
                <w:b/>
                <w:sz w:val="20"/>
                <w:szCs w:val="18"/>
              </w:rPr>
              <w:t>Missions ponctuelles</w:t>
            </w:r>
            <w:r w:rsidR="00930337">
              <w:rPr>
                <w:rFonts w:ascii="Arial" w:hAnsi="Arial" w:cs="Arial"/>
                <w:b/>
                <w:sz w:val="20"/>
                <w:szCs w:val="18"/>
              </w:rPr>
              <w:t> :</w:t>
            </w:r>
          </w:p>
          <w:p w14:paraId="505999FE" w14:textId="24FD2B86" w:rsidR="009E1230" w:rsidRPr="007315B3" w:rsidRDefault="009E1230" w:rsidP="007315B3">
            <w:pPr>
              <w:pStyle w:val="En-tte"/>
              <w:ind w:left="720" w:hanging="650"/>
              <w:jc w:val="both"/>
              <w:rPr>
                <w:rFonts w:ascii="Arial" w:hAnsi="Arial" w:cs="Arial"/>
                <w:sz w:val="20"/>
                <w:szCs w:val="18"/>
              </w:rPr>
            </w:pPr>
            <w:r>
              <w:rPr>
                <w:rFonts w:ascii="Arial" w:hAnsi="Arial" w:cs="Arial"/>
                <w:sz w:val="20"/>
                <w:szCs w:val="18"/>
              </w:rPr>
              <w:t>-Assurer le renseignement cohérent et régulier de l’outil budgétaire de l’Ecole pour les marchés passés</w:t>
            </w:r>
          </w:p>
          <w:p w14:paraId="45B2AE1C" w14:textId="77777777" w:rsidR="007B57FD" w:rsidRPr="002510AD" w:rsidRDefault="007B57FD" w:rsidP="00020DF5">
            <w:pPr>
              <w:pStyle w:val="En-tte"/>
              <w:tabs>
                <w:tab w:val="clear" w:pos="4536"/>
                <w:tab w:val="clear" w:pos="9072"/>
              </w:tabs>
              <w:ind w:left="720"/>
              <w:jc w:val="both"/>
              <w:rPr>
                <w:rFonts w:ascii="Arial" w:hAnsi="Arial" w:cs="Arial"/>
                <w:sz w:val="18"/>
                <w:szCs w:val="18"/>
              </w:rPr>
            </w:pPr>
          </w:p>
        </w:tc>
      </w:tr>
      <w:tr w:rsidR="007B57FD" w14:paraId="1AA96BD3" w14:textId="77777777" w:rsidTr="00412A86">
        <w:tblPrEx>
          <w:tblCellMar>
            <w:left w:w="70" w:type="dxa"/>
            <w:right w:w="70" w:type="dxa"/>
          </w:tblCellMar>
        </w:tblPrEx>
        <w:trPr>
          <w:trHeight w:val="983"/>
        </w:trPr>
        <w:tc>
          <w:tcPr>
            <w:tcW w:w="2552" w:type="dxa"/>
            <w:tcBorders>
              <w:top w:val="single" w:sz="4" w:space="0" w:color="000000"/>
              <w:left w:val="single" w:sz="4" w:space="0" w:color="000000"/>
              <w:bottom w:val="single" w:sz="4" w:space="0" w:color="000000"/>
            </w:tcBorders>
          </w:tcPr>
          <w:p w14:paraId="6C76EDE4" w14:textId="77777777" w:rsidR="007B57FD" w:rsidRDefault="007B57FD">
            <w:pPr>
              <w:snapToGrid w:val="0"/>
              <w:spacing w:before="120" w:after="120"/>
              <w:ind w:right="125"/>
              <w:rPr>
                <w:b/>
                <w:bCs/>
                <w:sz w:val="19"/>
                <w:szCs w:val="19"/>
              </w:rPr>
            </w:pPr>
            <w:r>
              <w:rPr>
                <w:b/>
                <w:bCs/>
                <w:sz w:val="19"/>
                <w:szCs w:val="19"/>
              </w:rPr>
              <w:lastRenderedPageBreak/>
              <w:t>Champ relationnel du poste</w:t>
            </w:r>
          </w:p>
        </w:tc>
        <w:tc>
          <w:tcPr>
            <w:tcW w:w="6854" w:type="dxa"/>
            <w:gridSpan w:val="5"/>
            <w:tcBorders>
              <w:top w:val="single" w:sz="4" w:space="0" w:color="000000"/>
              <w:left w:val="single" w:sz="4" w:space="0" w:color="000000"/>
              <w:bottom w:val="single" w:sz="4" w:space="0" w:color="000000"/>
              <w:right w:val="single" w:sz="4" w:space="0" w:color="000000"/>
            </w:tcBorders>
          </w:tcPr>
          <w:p w14:paraId="647D1E8A" w14:textId="77777777" w:rsidR="008F2672" w:rsidRPr="008F2672" w:rsidRDefault="008F2672" w:rsidP="008F2672">
            <w:pPr>
              <w:pStyle w:val="En-tte"/>
              <w:jc w:val="both"/>
              <w:rPr>
                <w:rFonts w:ascii="Arial" w:hAnsi="Arial" w:cs="Arial"/>
                <w:sz w:val="20"/>
                <w:szCs w:val="20"/>
              </w:rPr>
            </w:pPr>
            <w:r w:rsidRPr="008F2672">
              <w:rPr>
                <w:rFonts w:ascii="Arial" w:hAnsi="Arial" w:cs="Arial"/>
                <w:sz w:val="20"/>
                <w:szCs w:val="20"/>
              </w:rPr>
              <w:t>En interne : l’ensemble des services de l’</w:t>
            </w:r>
            <w:proofErr w:type="spellStart"/>
            <w:r w:rsidRPr="008F2672">
              <w:rPr>
                <w:rFonts w:ascii="Arial" w:hAnsi="Arial" w:cs="Arial"/>
                <w:sz w:val="20"/>
                <w:szCs w:val="20"/>
              </w:rPr>
              <w:t>EnvA</w:t>
            </w:r>
            <w:proofErr w:type="spellEnd"/>
            <w:r w:rsidRPr="008F2672">
              <w:rPr>
                <w:rFonts w:ascii="Arial" w:hAnsi="Arial" w:cs="Arial"/>
                <w:sz w:val="20"/>
                <w:szCs w:val="20"/>
              </w:rPr>
              <w:t>, en particulier les services du secrétariat général</w:t>
            </w:r>
          </w:p>
          <w:p w14:paraId="6C9F8D3C" w14:textId="77777777" w:rsidR="007B57FD" w:rsidRDefault="008F2672" w:rsidP="008F2672">
            <w:pPr>
              <w:pStyle w:val="En-tte"/>
              <w:tabs>
                <w:tab w:val="clear" w:pos="4536"/>
                <w:tab w:val="clear" w:pos="9072"/>
              </w:tabs>
              <w:jc w:val="both"/>
              <w:rPr>
                <w:rFonts w:ascii="Arial" w:hAnsi="Arial" w:cs="Arial"/>
                <w:sz w:val="20"/>
                <w:szCs w:val="20"/>
              </w:rPr>
            </w:pPr>
            <w:r w:rsidRPr="008F2672">
              <w:rPr>
                <w:rFonts w:ascii="Arial" w:hAnsi="Arial" w:cs="Arial"/>
                <w:sz w:val="20"/>
                <w:szCs w:val="20"/>
              </w:rPr>
              <w:t>En externe : le réseau achat des autres établissements de l’ESR du ministère, les services ministériels de tutelle et du bureau de la commande publique, fournisseurs.</w:t>
            </w:r>
          </w:p>
          <w:p w14:paraId="47EE43BC" w14:textId="1DAF6417" w:rsidR="004F518F" w:rsidRDefault="004F518F" w:rsidP="008F2672">
            <w:pPr>
              <w:pStyle w:val="En-tte"/>
              <w:tabs>
                <w:tab w:val="clear" w:pos="4536"/>
                <w:tab w:val="clear" w:pos="9072"/>
              </w:tabs>
              <w:jc w:val="both"/>
            </w:pPr>
          </w:p>
        </w:tc>
      </w:tr>
      <w:tr w:rsidR="0025741C" w14:paraId="1A1A3178" w14:textId="77777777" w:rsidTr="0025741C">
        <w:tblPrEx>
          <w:tblCellMar>
            <w:left w:w="70" w:type="dxa"/>
            <w:right w:w="70" w:type="dxa"/>
          </w:tblCellMar>
        </w:tblPrEx>
        <w:trPr>
          <w:trHeight w:val="349"/>
        </w:trPr>
        <w:tc>
          <w:tcPr>
            <w:tcW w:w="2552" w:type="dxa"/>
            <w:tcBorders>
              <w:top w:val="single" w:sz="4" w:space="0" w:color="000000"/>
              <w:left w:val="single" w:sz="4" w:space="0" w:color="000000"/>
              <w:bottom w:val="single" w:sz="4" w:space="0" w:color="000000"/>
            </w:tcBorders>
          </w:tcPr>
          <w:p w14:paraId="709A4009" w14:textId="77777777" w:rsidR="0025741C" w:rsidRDefault="0025741C">
            <w:pPr>
              <w:snapToGrid w:val="0"/>
              <w:spacing w:before="120" w:after="120"/>
              <w:ind w:right="125"/>
              <w:rPr>
                <w:b/>
                <w:bCs/>
                <w:sz w:val="19"/>
                <w:szCs w:val="19"/>
              </w:rPr>
            </w:pPr>
            <w:r>
              <w:rPr>
                <w:b/>
                <w:bCs/>
                <w:sz w:val="19"/>
                <w:szCs w:val="19"/>
              </w:rPr>
              <w:t>Contraintes particulières</w:t>
            </w:r>
          </w:p>
        </w:tc>
        <w:tc>
          <w:tcPr>
            <w:tcW w:w="6854" w:type="dxa"/>
            <w:gridSpan w:val="5"/>
            <w:tcBorders>
              <w:left w:val="single" w:sz="4" w:space="0" w:color="000000"/>
              <w:right w:val="single" w:sz="4" w:space="0" w:color="000000"/>
            </w:tcBorders>
            <w:vAlign w:val="center"/>
          </w:tcPr>
          <w:p w14:paraId="689796EC" w14:textId="77777777" w:rsidR="0025741C" w:rsidRPr="00EC181F" w:rsidRDefault="0025741C" w:rsidP="0025741C">
            <w:pPr>
              <w:snapToGrid w:val="0"/>
              <w:spacing w:before="120" w:after="120"/>
              <w:ind w:right="-81"/>
              <w:rPr>
                <w:bCs/>
                <w:szCs w:val="20"/>
              </w:rPr>
            </w:pPr>
            <w:r w:rsidRPr="00EC181F">
              <w:rPr>
                <w:bCs/>
                <w:szCs w:val="20"/>
              </w:rPr>
              <w:t>Temps complet (38h10 hebdomadaires).</w:t>
            </w:r>
          </w:p>
          <w:p w14:paraId="182478E5" w14:textId="77777777" w:rsidR="0025741C" w:rsidRDefault="0025741C" w:rsidP="0025741C">
            <w:pPr>
              <w:snapToGrid w:val="0"/>
              <w:spacing w:before="120" w:after="120"/>
              <w:ind w:right="-81"/>
              <w:rPr>
                <w:bCs/>
                <w:szCs w:val="20"/>
              </w:rPr>
            </w:pPr>
            <w:r w:rsidRPr="00EC181F">
              <w:rPr>
                <w:bCs/>
                <w:szCs w:val="20"/>
              </w:rPr>
              <w:t>Une partie des activités peut faire l’objet d’une autorisation de télétravail.</w:t>
            </w:r>
          </w:p>
          <w:p w14:paraId="1A85CD1A" w14:textId="18E8056A" w:rsidR="007315B3" w:rsidRPr="00EC181F" w:rsidRDefault="007315B3" w:rsidP="0025741C">
            <w:pPr>
              <w:snapToGrid w:val="0"/>
              <w:spacing w:before="120" w:after="120"/>
              <w:ind w:right="-81"/>
              <w:rPr>
                <w:b/>
                <w:bCs/>
                <w:szCs w:val="20"/>
              </w:rPr>
            </w:pPr>
          </w:p>
        </w:tc>
      </w:tr>
      <w:tr w:rsidR="007B57FD" w14:paraId="33C8B808" w14:textId="77777777" w:rsidTr="00B44E4A">
        <w:tblPrEx>
          <w:tblCellMar>
            <w:left w:w="70" w:type="dxa"/>
            <w:right w:w="70" w:type="dxa"/>
          </w:tblCellMar>
        </w:tblPrEx>
        <w:trPr>
          <w:trHeight w:val="349"/>
        </w:trPr>
        <w:tc>
          <w:tcPr>
            <w:tcW w:w="2552" w:type="dxa"/>
            <w:vMerge w:val="restart"/>
            <w:tcBorders>
              <w:top w:val="single" w:sz="4" w:space="0" w:color="000000"/>
              <w:left w:val="single" w:sz="4" w:space="0" w:color="000000"/>
              <w:bottom w:val="single" w:sz="4" w:space="0" w:color="000000"/>
            </w:tcBorders>
          </w:tcPr>
          <w:p w14:paraId="79E885F5" w14:textId="77777777" w:rsidR="007B57FD" w:rsidRDefault="007B57FD">
            <w:pPr>
              <w:snapToGrid w:val="0"/>
              <w:spacing w:before="120" w:after="120"/>
              <w:ind w:right="125"/>
              <w:rPr>
                <w:b/>
                <w:bCs/>
                <w:sz w:val="19"/>
                <w:szCs w:val="19"/>
              </w:rPr>
            </w:pPr>
            <w:r>
              <w:rPr>
                <w:b/>
                <w:bCs/>
                <w:sz w:val="19"/>
                <w:szCs w:val="19"/>
              </w:rPr>
              <w:t>Compétences liées au poste</w:t>
            </w:r>
          </w:p>
        </w:tc>
        <w:tc>
          <w:tcPr>
            <w:tcW w:w="3260" w:type="dxa"/>
            <w:gridSpan w:val="2"/>
            <w:tcBorders>
              <w:top w:val="single" w:sz="4" w:space="0" w:color="auto"/>
              <w:left w:val="single" w:sz="4" w:space="0" w:color="000000"/>
            </w:tcBorders>
            <w:vAlign w:val="center"/>
          </w:tcPr>
          <w:p w14:paraId="6867FF23" w14:textId="77777777" w:rsidR="007B57FD" w:rsidRDefault="007B57FD">
            <w:pPr>
              <w:pStyle w:val="Titre2"/>
              <w:rPr>
                <w:sz w:val="19"/>
                <w:szCs w:val="19"/>
              </w:rPr>
            </w:pPr>
            <w:r>
              <w:rPr>
                <w:sz w:val="19"/>
                <w:szCs w:val="19"/>
              </w:rPr>
              <w:t>Savoirs</w:t>
            </w:r>
          </w:p>
          <w:p w14:paraId="78B3DAB9" w14:textId="77777777" w:rsidR="00D7046F" w:rsidRPr="00D7046F" w:rsidRDefault="00D7046F" w:rsidP="00D7046F"/>
        </w:tc>
        <w:tc>
          <w:tcPr>
            <w:tcW w:w="3594" w:type="dxa"/>
            <w:gridSpan w:val="3"/>
            <w:tcBorders>
              <w:top w:val="single" w:sz="4" w:space="0" w:color="auto"/>
              <w:left w:val="single" w:sz="4" w:space="0" w:color="000000"/>
              <w:right w:val="single" w:sz="4" w:space="0" w:color="000000"/>
            </w:tcBorders>
            <w:vAlign w:val="center"/>
          </w:tcPr>
          <w:p w14:paraId="26DAD276" w14:textId="77777777" w:rsidR="007B57FD" w:rsidRDefault="007B57FD">
            <w:pPr>
              <w:snapToGrid w:val="0"/>
              <w:spacing w:before="120"/>
              <w:ind w:right="-81"/>
              <w:jc w:val="center"/>
              <w:rPr>
                <w:b/>
                <w:bCs/>
                <w:sz w:val="19"/>
                <w:szCs w:val="19"/>
              </w:rPr>
            </w:pPr>
            <w:r>
              <w:rPr>
                <w:b/>
                <w:bCs/>
                <w:sz w:val="19"/>
                <w:szCs w:val="19"/>
              </w:rPr>
              <w:t>Savoir-faire</w:t>
            </w:r>
          </w:p>
        </w:tc>
      </w:tr>
      <w:tr w:rsidR="007B57FD" w14:paraId="2DD168EA" w14:textId="77777777" w:rsidTr="0031787E">
        <w:tblPrEx>
          <w:tblCellMar>
            <w:left w:w="70" w:type="dxa"/>
            <w:right w:w="70" w:type="dxa"/>
          </w:tblCellMar>
        </w:tblPrEx>
        <w:trPr>
          <w:trHeight w:val="841"/>
        </w:trPr>
        <w:tc>
          <w:tcPr>
            <w:tcW w:w="2552" w:type="dxa"/>
            <w:vMerge/>
            <w:tcBorders>
              <w:left w:val="single" w:sz="4" w:space="0" w:color="000000"/>
              <w:bottom w:val="single" w:sz="4" w:space="0" w:color="000000"/>
            </w:tcBorders>
          </w:tcPr>
          <w:p w14:paraId="3648E977" w14:textId="77777777" w:rsidR="007B57FD" w:rsidRDefault="007B57FD">
            <w:pPr>
              <w:snapToGrid w:val="0"/>
              <w:spacing w:before="120" w:after="120"/>
              <w:ind w:right="125"/>
              <w:rPr>
                <w:b/>
                <w:bCs/>
                <w:sz w:val="19"/>
                <w:szCs w:val="19"/>
              </w:rPr>
            </w:pPr>
          </w:p>
        </w:tc>
        <w:tc>
          <w:tcPr>
            <w:tcW w:w="3260" w:type="dxa"/>
            <w:gridSpan w:val="2"/>
            <w:tcBorders>
              <w:left w:val="single" w:sz="4" w:space="0" w:color="000000"/>
              <w:bottom w:val="single" w:sz="4" w:space="0" w:color="000000"/>
            </w:tcBorders>
          </w:tcPr>
          <w:p w14:paraId="0D337CC0" w14:textId="77777777" w:rsidR="008F2672" w:rsidRPr="008F2672" w:rsidRDefault="008F2672" w:rsidP="008F2672">
            <w:pPr>
              <w:suppressAutoHyphens w:val="0"/>
              <w:rPr>
                <w:szCs w:val="20"/>
                <w:lang w:eastAsia="fr-FR"/>
              </w:rPr>
            </w:pPr>
            <w:r w:rsidRPr="008F2672">
              <w:rPr>
                <w:szCs w:val="20"/>
                <w:lang w:eastAsia="fr-FR"/>
              </w:rPr>
              <w:t>Maitriser le cadre réglementaire de la commande publique</w:t>
            </w:r>
          </w:p>
          <w:p w14:paraId="0B458707" w14:textId="77777777" w:rsidR="008F2672" w:rsidRPr="008F2672" w:rsidRDefault="008F2672" w:rsidP="008F2672">
            <w:pPr>
              <w:suppressAutoHyphens w:val="0"/>
              <w:rPr>
                <w:szCs w:val="20"/>
                <w:lang w:eastAsia="fr-FR"/>
              </w:rPr>
            </w:pPr>
            <w:r w:rsidRPr="008F2672">
              <w:rPr>
                <w:szCs w:val="20"/>
                <w:lang w:eastAsia="fr-FR"/>
              </w:rPr>
              <w:t>Connaître les techniques d’analyse et de contrôle des coûts</w:t>
            </w:r>
          </w:p>
          <w:p w14:paraId="0559D0A4" w14:textId="77777777" w:rsidR="008F2672" w:rsidRPr="008F2672" w:rsidRDefault="008F2672" w:rsidP="008F2672">
            <w:pPr>
              <w:suppressAutoHyphens w:val="0"/>
              <w:rPr>
                <w:szCs w:val="20"/>
                <w:lang w:eastAsia="fr-FR"/>
              </w:rPr>
            </w:pPr>
            <w:r w:rsidRPr="008F2672">
              <w:rPr>
                <w:szCs w:val="20"/>
                <w:lang w:eastAsia="fr-FR"/>
              </w:rPr>
              <w:t>Connaître les grands principes du droit public et du contentieux de l’achat public</w:t>
            </w:r>
          </w:p>
          <w:p w14:paraId="61A5E6C9" w14:textId="77777777" w:rsidR="008F2672" w:rsidRPr="008F2672" w:rsidRDefault="008F2672" w:rsidP="008F2672">
            <w:pPr>
              <w:suppressAutoHyphens w:val="0"/>
              <w:rPr>
                <w:szCs w:val="20"/>
                <w:lang w:eastAsia="fr-FR"/>
              </w:rPr>
            </w:pPr>
            <w:r w:rsidRPr="008F2672">
              <w:rPr>
                <w:szCs w:val="20"/>
                <w:lang w:eastAsia="fr-FR"/>
              </w:rPr>
              <w:t xml:space="preserve">Connaître les règles de la comptabilité publique et du contrôle de gestion </w:t>
            </w:r>
          </w:p>
          <w:p w14:paraId="3493AA9A" w14:textId="77777777" w:rsidR="008F2672" w:rsidRPr="008F2672" w:rsidRDefault="008F2672" w:rsidP="008F2672">
            <w:pPr>
              <w:suppressAutoHyphens w:val="0"/>
              <w:rPr>
                <w:szCs w:val="20"/>
                <w:lang w:eastAsia="fr-FR"/>
              </w:rPr>
            </w:pPr>
            <w:r w:rsidRPr="008F2672">
              <w:rPr>
                <w:szCs w:val="20"/>
                <w:lang w:eastAsia="fr-FR"/>
              </w:rPr>
              <w:t xml:space="preserve">Connaître le statut et l’organisation d’un établissement public d’enseignement supérieur  </w:t>
            </w:r>
          </w:p>
          <w:p w14:paraId="46D4E7E1" w14:textId="200499E8" w:rsidR="00C319D6" w:rsidRPr="003B6AB0" w:rsidRDefault="008F2672" w:rsidP="008F2672">
            <w:pPr>
              <w:suppressAutoHyphens w:val="0"/>
              <w:autoSpaceDE w:val="0"/>
              <w:snapToGrid w:val="0"/>
              <w:rPr>
                <w:bCs/>
                <w:sz w:val="18"/>
                <w:szCs w:val="18"/>
              </w:rPr>
            </w:pPr>
            <w:r w:rsidRPr="008F2672">
              <w:rPr>
                <w:szCs w:val="20"/>
                <w:lang w:eastAsia="fr-FR"/>
              </w:rPr>
              <w:t>Connaître les techniques rédactionnelles juridiques</w:t>
            </w:r>
          </w:p>
        </w:tc>
        <w:tc>
          <w:tcPr>
            <w:tcW w:w="3594" w:type="dxa"/>
            <w:gridSpan w:val="3"/>
            <w:tcBorders>
              <w:left w:val="single" w:sz="4" w:space="0" w:color="000000"/>
              <w:bottom w:val="single" w:sz="4" w:space="0" w:color="000000"/>
              <w:right w:val="single" w:sz="4" w:space="0" w:color="000000"/>
            </w:tcBorders>
          </w:tcPr>
          <w:p w14:paraId="3EEC8566" w14:textId="77777777" w:rsidR="008F2672" w:rsidRPr="008F2672" w:rsidRDefault="008F2672" w:rsidP="00AB3695">
            <w:r w:rsidRPr="008F2672">
              <w:t xml:space="preserve">Savoir travailler en équipe </w:t>
            </w:r>
          </w:p>
          <w:p w14:paraId="5F061024" w14:textId="77777777" w:rsidR="008F2672" w:rsidRPr="008F2672" w:rsidRDefault="008F2672" w:rsidP="00AB3695">
            <w:r w:rsidRPr="008F2672">
              <w:t>Savoir structurer, planifier et suivre les différentes phases d’une procédure d’achat</w:t>
            </w:r>
          </w:p>
          <w:p w14:paraId="301AAB0E" w14:textId="77777777" w:rsidR="008F2672" w:rsidRPr="008F2672" w:rsidRDefault="008F2672" w:rsidP="00AB3695">
            <w:r w:rsidRPr="008F2672">
              <w:t>Savoir dialoguer et négocier avec des interlocuteurs de nature variée</w:t>
            </w:r>
          </w:p>
          <w:p w14:paraId="0A210A70" w14:textId="77777777" w:rsidR="008F2672" w:rsidRPr="008F2672" w:rsidRDefault="008F2672" w:rsidP="00AB3695">
            <w:r w:rsidRPr="008F2672">
              <w:t>Savoir détecter les risques de dysfonctionnements (litiges, pénalités, résiliation, etc.)</w:t>
            </w:r>
          </w:p>
          <w:p w14:paraId="309A0FB4" w14:textId="77777777" w:rsidR="008F2672" w:rsidRPr="008F2672" w:rsidRDefault="008F2672" w:rsidP="00AB3695">
            <w:r w:rsidRPr="008F2672">
              <w:t>Savoir élaborer des outils d’analyse et de synthèse et en rendre compte</w:t>
            </w:r>
          </w:p>
          <w:p w14:paraId="01AB9074" w14:textId="775B68F3" w:rsidR="007B57FD" w:rsidRPr="003B6AB0" w:rsidRDefault="008F2672" w:rsidP="00AB3695">
            <w:pPr>
              <w:rPr>
                <w:bCs/>
                <w:sz w:val="18"/>
              </w:rPr>
            </w:pPr>
            <w:r w:rsidRPr="008F2672">
              <w:t xml:space="preserve">Sens du service public </w:t>
            </w:r>
          </w:p>
        </w:tc>
      </w:tr>
      <w:tr w:rsidR="00875AFA" w:rsidRPr="00875AFA" w14:paraId="155FA1D5" w14:textId="77777777" w:rsidTr="00D43C15">
        <w:tblPrEx>
          <w:tblCellMar>
            <w:top w:w="60" w:type="dxa"/>
            <w:left w:w="60" w:type="dxa"/>
            <w:bottom w:w="60" w:type="dxa"/>
            <w:right w:w="60" w:type="dxa"/>
          </w:tblCellMar>
        </w:tblPrEx>
        <w:trPr>
          <w:gridAfter w:val="2"/>
          <w:wAfter w:w="50" w:type="dxa"/>
          <w:trHeight w:val="705"/>
        </w:trPr>
        <w:tc>
          <w:tcPr>
            <w:tcW w:w="2552" w:type="dxa"/>
            <w:tcBorders>
              <w:left w:val="single" w:sz="6" w:space="0" w:color="000000"/>
              <w:bottom w:val="single" w:sz="6" w:space="0" w:color="000000"/>
            </w:tcBorders>
            <w:shd w:val="clear" w:color="auto" w:fill="auto"/>
          </w:tcPr>
          <w:p w14:paraId="55B2AA62" w14:textId="77777777" w:rsidR="00875AFA" w:rsidRPr="00875AFA" w:rsidRDefault="00FD1F29" w:rsidP="00AB3695">
            <w:pPr>
              <w:snapToGrid w:val="0"/>
              <w:spacing w:before="120" w:after="120"/>
              <w:ind w:right="125"/>
              <w:rPr>
                <w:rFonts w:eastAsia="Arial Unicode MS"/>
                <w:szCs w:val="20"/>
                <w:lang w:eastAsia="zh-CN" w:bidi="hi-IN"/>
              </w:rPr>
            </w:pPr>
            <w:r w:rsidRPr="00AB3695">
              <w:rPr>
                <w:b/>
                <w:bCs/>
                <w:sz w:val="19"/>
                <w:szCs w:val="19"/>
              </w:rPr>
              <w:t>Contact et c</w:t>
            </w:r>
            <w:r w:rsidR="00FD01F7" w:rsidRPr="00AB3695">
              <w:rPr>
                <w:b/>
                <w:bCs/>
                <w:sz w:val="19"/>
                <w:szCs w:val="19"/>
              </w:rPr>
              <w:t>andidature (lettre de motivation et cv) et renseignements</w:t>
            </w:r>
            <w:r w:rsidR="00875AFA" w:rsidRPr="00875AFA">
              <w:rPr>
                <w:rFonts w:eastAsia="Arial Unicode MS"/>
                <w:b/>
                <w:szCs w:val="20"/>
                <w:lang w:eastAsia="zh-CN" w:bidi="hi-IN"/>
              </w:rPr>
              <w:t xml:space="preserve"> </w:t>
            </w:r>
          </w:p>
        </w:tc>
        <w:tc>
          <w:tcPr>
            <w:tcW w:w="6804" w:type="dxa"/>
            <w:gridSpan w:val="3"/>
            <w:tcBorders>
              <w:left w:val="single" w:sz="1" w:space="0" w:color="000000"/>
              <w:bottom w:val="single" w:sz="6" w:space="0" w:color="000000"/>
              <w:right w:val="single" w:sz="6" w:space="0" w:color="000000"/>
            </w:tcBorders>
            <w:shd w:val="clear" w:color="auto" w:fill="auto"/>
          </w:tcPr>
          <w:p w14:paraId="423F461F" w14:textId="01358FF2" w:rsidR="00FD1F29" w:rsidRDefault="00FD1F29" w:rsidP="00875AFA">
            <w:pPr>
              <w:widowControl w:val="0"/>
              <w:rPr>
                <w:rFonts w:eastAsia="Arial Unicode MS"/>
                <w:szCs w:val="20"/>
                <w:lang w:eastAsia="zh-CN" w:bidi="hi-IN"/>
              </w:rPr>
            </w:pPr>
            <w:r>
              <w:rPr>
                <w:rFonts w:eastAsia="Arial Unicode MS"/>
                <w:szCs w:val="20"/>
                <w:lang w:eastAsia="zh-CN" w:bidi="hi-IN"/>
              </w:rPr>
              <w:t xml:space="preserve">Contact : </w:t>
            </w:r>
            <w:proofErr w:type="spellStart"/>
            <w:r w:rsidR="00930337">
              <w:rPr>
                <w:rFonts w:eastAsia="Arial Unicode MS"/>
                <w:szCs w:val="20"/>
                <w:lang w:eastAsia="zh-CN" w:bidi="hi-IN"/>
              </w:rPr>
              <w:t>Berthenand</w:t>
            </w:r>
            <w:proofErr w:type="spellEnd"/>
            <w:r w:rsidR="00930337">
              <w:rPr>
                <w:rFonts w:eastAsia="Arial Unicode MS"/>
                <w:szCs w:val="20"/>
                <w:lang w:eastAsia="zh-CN" w:bidi="hi-IN"/>
              </w:rPr>
              <w:t xml:space="preserve"> Emmanuel, Secrétaire général</w:t>
            </w:r>
            <w:r>
              <w:rPr>
                <w:rFonts w:eastAsia="Arial Unicode MS"/>
                <w:szCs w:val="20"/>
                <w:lang w:eastAsia="zh-CN" w:bidi="hi-IN"/>
              </w:rPr>
              <w:t xml:space="preserve"> </w:t>
            </w:r>
            <w:r w:rsidR="00930337">
              <w:rPr>
                <w:rFonts w:eastAsia="Arial Unicode MS"/>
                <w:szCs w:val="20"/>
                <w:lang w:eastAsia="zh-CN" w:bidi="hi-IN"/>
              </w:rPr>
              <w:t>emmanuel.berthenand</w:t>
            </w:r>
            <w:r>
              <w:rPr>
                <w:rFonts w:eastAsia="Arial Unicode MS"/>
                <w:szCs w:val="20"/>
                <w:lang w:eastAsia="zh-CN" w:bidi="hi-IN"/>
              </w:rPr>
              <w:t>@vet-alfort.fr</w:t>
            </w:r>
          </w:p>
          <w:p w14:paraId="1071E8E8" w14:textId="77777777" w:rsidR="00FD1F29" w:rsidRDefault="00FD1F29" w:rsidP="00875AFA">
            <w:pPr>
              <w:widowControl w:val="0"/>
              <w:rPr>
                <w:rFonts w:eastAsia="Arial Unicode MS"/>
                <w:szCs w:val="20"/>
                <w:lang w:eastAsia="zh-CN" w:bidi="hi-IN"/>
              </w:rPr>
            </w:pPr>
          </w:p>
          <w:p w14:paraId="7D00D75B" w14:textId="5E0B47E7" w:rsidR="00875AFA" w:rsidRPr="00875AFA" w:rsidRDefault="00FD1F29" w:rsidP="00875AFA">
            <w:pPr>
              <w:widowControl w:val="0"/>
              <w:rPr>
                <w:rFonts w:eastAsia="Arial Unicode MS"/>
                <w:szCs w:val="20"/>
                <w:lang w:eastAsia="zh-CN" w:bidi="hi-IN"/>
              </w:rPr>
            </w:pPr>
            <w:r>
              <w:rPr>
                <w:rFonts w:eastAsia="Arial Unicode MS"/>
                <w:szCs w:val="20"/>
                <w:lang w:eastAsia="zh-CN" w:bidi="hi-IN"/>
              </w:rPr>
              <w:t>Candidature à</w:t>
            </w:r>
            <w:r w:rsidR="008F2672">
              <w:rPr>
                <w:rFonts w:eastAsia="Arial Unicode MS"/>
                <w:szCs w:val="20"/>
                <w:lang w:eastAsia="zh-CN" w:bidi="hi-IN"/>
              </w:rPr>
              <w:t xml:space="preserve"> : </w:t>
            </w:r>
            <w:r>
              <w:rPr>
                <w:rFonts w:eastAsia="Arial Unicode MS"/>
                <w:szCs w:val="20"/>
                <w:lang w:eastAsia="zh-CN" w:bidi="hi-IN"/>
              </w:rPr>
              <w:t>recrutement@vet-alfort.fr</w:t>
            </w:r>
            <w:bookmarkStart w:id="0" w:name="_GoBack"/>
            <w:bookmarkEnd w:id="0"/>
          </w:p>
          <w:p w14:paraId="2452BE6A" w14:textId="77777777" w:rsidR="00875AFA" w:rsidRPr="00875AFA" w:rsidRDefault="00875AFA" w:rsidP="00875AFA">
            <w:pPr>
              <w:widowControl w:val="0"/>
              <w:rPr>
                <w:rFonts w:ascii="Liberation Sans" w:eastAsia="Arial Unicode MS" w:hAnsi="Liberation Sans" w:cs="Mangal"/>
                <w:sz w:val="24"/>
                <w:lang w:eastAsia="zh-CN" w:bidi="hi-IN"/>
              </w:rPr>
            </w:pPr>
          </w:p>
        </w:tc>
      </w:tr>
    </w:tbl>
    <w:p w14:paraId="10D01A22" w14:textId="77777777" w:rsidR="000C23DE" w:rsidRDefault="000C23DE" w:rsidP="00CF17C5"/>
    <w:sectPr w:rsidR="000C23DE" w:rsidSect="00E55DCE">
      <w:headerReference w:type="default" r:id="rId8"/>
      <w:footerReference w:type="default" r:id="rId9"/>
      <w:pgSz w:w="11905" w:h="16837"/>
      <w:pgMar w:top="2385" w:right="1417" w:bottom="1417" w:left="1417" w:header="1020" w:footer="15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3B2F" w14:textId="77777777" w:rsidR="003954F2" w:rsidRDefault="003954F2" w:rsidP="00FD1F29">
      <w:r>
        <w:separator/>
      </w:r>
    </w:p>
  </w:endnote>
  <w:endnote w:type="continuationSeparator" w:id="0">
    <w:p w14:paraId="3232DC49" w14:textId="77777777" w:rsidR="003954F2" w:rsidRDefault="003954F2" w:rsidP="00FD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AACE" w14:textId="77777777" w:rsidR="00B44E4A" w:rsidRDefault="00B44E4A">
    <w:pPr>
      <w:pStyle w:val="Pieddepage"/>
    </w:pPr>
    <w:r>
      <w:rPr>
        <w:noProof/>
        <w:lang w:eastAsia="fr-FR"/>
      </w:rPr>
      <w:drawing>
        <wp:anchor distT="0" distB="0" distL="114300" distR="114300" simplePos="0" relativeHeight="251661312" behindDoc="0" locked="0" layoutInCell="0" allowOverlap="0" wp14:anchorId="019F8317" wp14:editId="5F74ACB8">
          <wp:simplePos x="0" y="0"/>
          <wp:positionH relativeFrom="margin">
            <wp:posOffset>-744855</wp:posOffset>
          </wp:positionH>
          <wp:positionV relativeFrom="page">
            <wp:posOffset>9438005</wp:posOffset>
          </wp:positionV>
          <wp:extent cx="6986905" cy="149225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90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DD7F" w14:textId="77777777" w:rsidR="003954F2" w:rsidRDefault="003954F2" w:rsidP="00FD1F29">
      <w:r>
        <w:separator/>
      </w:r>
    </w:p>
  </w:footnote>
  <w:footnote w:type="continuationSeparator" w:id="0">
    <w:p w14:paraId="170DA7A2" w14:textId="77777777" w:rsidR="003954F2" w:rsidRDefault="003954F2" w:rsidP="00FD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31D6" w14:textId="77777777" w:rsidR="00FD1F29" w:rsidRDefault="00FD1F29">
    <w:pPr>
      <w:pStyle w:val="En-tte"/>
    </w:pPr>
    <w:r>
      <w:rPr>
        <w:noProof/>
      </w:rPr>
      <w:drawing>
        <wp:anchor distT="0" distB="0" distL="114300" distR="114300" simplePos="0" relativeHeight="251659264" behindDoc="0" locked="0" layoutInCell="0" allowOverlap="0" wp14:anchorId="6EE50EE0" wp14:editId="64789957">
          <wp:simplePos x="0" y="0"/>
          <wp:positionH relativeFrom="margin">
            <wp:posOffset>-514350</wp:posOffset>
          </wp:positionH>
          <wp:positionV relativeFrom="margin">
            <wp:posOffset>-1627505</wp:posOffset>
          </wp:positionV>
          <wp:extent cx="6756400" cy="1452245"/>
          <wp:effectExtent l="0" t="0" r="635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0" cy="1452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6437B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13C352EB"/>
    <w:multiLevelType w:val="hybridMultilevel"/>
    <w:tmpl w:val="28D28560"/>
    <w:lvl w:ilvl="0" w:tplc="DA462704">
      <w:numFmt w:val="bullet"/>
      <w:lvlText w:val="-"/>
      <w:lvlJc w:val="left"/>
      <w:pPr>
        <w:tabs>
          <w:tab w:val="num" w:pos="705"/>
        </w:tabs>
        <w:ind w:left="705" w:hanging="360"/>
      </w:pPr>
      <w:rPr>
        <w:rFonts w:ascii="Arial" w:eastAsia="Times New Roman" w:hAnsi="Arial" w:cs="Arial" w:hint="default"/>
      </w:rPr>
    </w:lvl>
    <w:lvl w:ilvl="1" w:tplc="040C0003" w:tentative="1">
      <w:start w:val="1"/>
      <w:numFmt w:val="bullet"/>
      <w:lvlText w:val="o"/>
      <w:lvlJc w:val="left"/>
      <w:pPr>
        <w:tabs>
          <w:tab w:val="num" w:pos="1425"/>
        </w:tabs>
        <w:ind w:left="1425" w:hanging="360"/>
      </w:pPr>
      <w:rPr>
        <w:rFonts w:ascii="Courier New" w:hAnsi="Courier New" w:cs="Courier New" w:hint="default"/>
      </w:rPr>
    </w:lvl>
    <w:lvl w:ilvl="2" w:tplc="040C0005" w:tentative="1">
      <w:start w:val="1"/>
      <w:numFmt w:val="bullet"/>
      <w:lvlText w:val=""/>
      <w:lvlJc w:val="left"/>
      <w:pPr>
        <w:tabs>
          <w:tab w:val="num" w:pos="2145"/>
        </w:tabs>
        <w:ind w:left="2145" w:hanging="360"/>
      </w:pPr>
      <w:rPr>
        <w:rFonts w:ascii="Wingdings" w:hAnsi="Wingdings" w:hint="default"/>
      </w:rPr>
    </w:lvl>
    <w:lvl w:ilvl="3" w:tplc="040C0001" w:tentative="1">
      <w:start w:val="1"/>
      <w:numFmt w:val="bullet"/>
      <w:lvlText w:val=""/>
      <w:lvlJc w:val="left"/>
      <w:pPr>
        <w:tabs>
          <w:tab w:val="num" w:pos="2865"/>
        </w:tabs>
        <w:ind w:left="2865" w:hanging="360"/>
      </w:pPr>
      <w:rPr>
        <w:rFonts w:ascii="Symbol" w:hAnsi="Symbol" w:hint="default"/>
      </w:rPr>
    </w:lvl>
    <w:lvl w:ilvl="4" w:tplc="040C0003" w:tentative="1">
      <w:start w:val="1"/>
      <w:numFmt w:val="bullet"/>
      <w:lvlText w:val="o"/>
      <w:lvlJc w:val="left"/>
      <w:pPr>
        <w:tabs>
          <w:tab w:val="num" w:pos="3585"/>
        </w:tabs>
        <w:ind w:left="3585" w:hanging="360"/>
      </w:pPr>
      <w:rPr>
        <w:rFonts w:ascii="Courier New" w:hAnsi="Courier New" w:cs="Courier New" w:hint="default"/>
      </w:rPr>
    </w:lvl>
    <w:lvl w:ilvl="5" w:tplc="040C0005" w:tentative="1">
      <w:start w:val="1"/>
      <w:numFmt w:val="bullet"/>
      <w:lvlText w:val=""/>
      <w:lvlJc w:val="left"/>
      <w:pPr>
        <w:tabs>
          <w:tab w:val="num" w:pos="4305"/>
        </w:tabs>
        <w:ind w:left="4305" w:hanging="360"/>
      </w:pPr>
      <w:rPr>
        <w:rFonts w:ascii="Wingdings" w:hAnsi="Wingdings" w:hint="default"/>
      </w:rPr>
    </w:lvl>
    <w:lvl w:ilvl="6" w:tplc="040C0001" w:tentative="1">
      <w:start w:val="1"/>
      <w:numFmt w:val="bullet"/>
      <w:lvlText w:val=""/>
      <w:lvlJc w:val="left"/>
      <w:pPr>
        <w:tabs>
          <w:tab w:val="num" w:pos="5025"/>
        </w:tabs>
        <w:ind w:left="5025" w:hanging="360"/>
      </w:pPr>
      <w:rPr>
        <w:rFonts w:ascii="Symbol" w:hAnsi="Symbol" w:hint="default"/>
      </w:rPr>
    </w:lvl>
    <w:lvl w:ilvl="7" w:tplc="040C0003" w:tentative="1">
      <w:start w:val="1"/>
      <w:numFmt w:val="bullet"/>
      <w:lvlText w:val="o"/>
      <w:lvlJc w:val="left"/>
      <w:pPr>
        <w:tabs>
          <w:tab w:val="num" w:pos="5745"/>
        </w:tabs>
        <w:ind w:left="5745" w:hanging="360"/>
      </w:pPr>
      <w:rPr>
        <w:rFonts w:ascii="Courier New" w:hAnsi="Courier New" w:cs="Courier New" w:hint="default"/>
      </w:rPr>
    </w:lvl>
    <w:lvl w:ilvl="8" w:tplc="040C0005" w:tentative="1">
      <w:start w:val="1"/>
      <w:numFmt w:val="bullet"/>
      <w:lvlText w:val=""/>
      <w:lvlJc w:val="left"/>
      <w:pPr>
        <w:tabs>
          <w:tab w:val="num" w:pos="6465"/>
        </w:tabs>
        <w:ind w:left="6465" w:hanging="360"/>
      </w:pPr>
      <w:rPr>
        <w:rFonts w:ascii="Wingdings" w:hAnsi="Wingdings" w:hint="default"/>
      </w:rPr>
    </w:lvl>
  </w:abstractNum>
  <w:abstractNum w:abstractNumId="4" w15:restartNumberingAfterBreak="0">
    <w:nsid w:val="16020D17"/>
    <w:multiLevelType w:val="hybridMultilevel"/>
    <w:tmpl w:val="A692CD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F2860AF"/>
    <w:multiLevelType w:val="hybridMultilevel"/>
    <w:tmpl w:val="BE622E9C"/>
    <w:lvl w:ilvl="0" w:tplc="040C0001">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365E004A"/>
    <w:multiLevelType w:val="singleLevel"/>
    <w:tmpl w:val="1400A8B6"/>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36E76ED4"/>
    <w:multiLevelType w:val="singleLevel"/>
    <w:tmpl w:val="1400A8B6"/>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4AAB3A6A"/>
    <w:multiLevelType w:val="hybridMultilevel"/>
    <w:tmpl w:val="3CD8B3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4746B7"/>
    <w:multiLevelType w:val="hybridMultilevel"/>
    <w:tmpl w:val="19D0B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13266B1"/>
    <w:multiLevelType w:val="hybridMultilevel"/>
    <w:tmpl w:val="DEA4B9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8E40981"/>
    <w:multiLevelType w:val="hybridMultilevel"/>
    <w:tmpl w:val="86F61B8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0"/>
  </w:num>
  <w:num w:numId="6">
    <w:abstractNumId w:val="0"/>
  </w:num>
  <w:num w:numId="7">
    <w:abstractNumId w:val="0"/>
  </w:num>
  <w:num w:numId="8">
    <w:abstractNumId w:val="0"/>
  </w:num>
  <w:num w:numId="9">
    <w:abstractNumId w:val="11"/>
  </w:num>
  <w:num w:numId="10">
    <w:abstractNumId w:val="3"/>
  </w:num>
  <w:num w:numId="11">
    <w:abstractNumId w:val="8"/>
  </w:num>
  <w:num w:numId="12">
    <w:abstractNumId w:val="7"/>
  </w:num>
  <w:num w:numId="13">
    <w:abstractNumId w:val="6"/>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1E"/>
    <w:rsid w:val="00020DF5"/>
    <w:rsid w:val="00036021"/>
    <w:rsid w:val="000753F8"/>
    <w:rsid w:val="000C23DE"/>
    <w:rsid w:val="001064C0"/>
    <w:rsid w:val="0012000A"/>
    <w:rsid w:val="00196601"/>
    <w:rsid w:val="001A144A"/>
    <w:rsid w:val="00202B8A"/>
    <w:rsid w:val="002510AD"/>
    <w:rsid w:val="0025741C"/>
    <w:rsid w:val="00264E49"/>
    <w:rsid w:val="00301766"/>
    <w:rsid w:val="0031787E"/>
    <w:rsid w:val="00370034"/>
    <w:rsid w:val="003954F2"/>
    <w:rsid w:val="003B6AB0"/>
    <w:rsid w:val="003C0038"/>
    <w:rsid w:val="00412A86"/>
    <w:rsid w:val="004364C5"/>
    <w:rsid w:val="004429D2"/>
    <w:rsid w:val="00475EA4"/>
    <w:rsid w:val="004E7CBC"/>
    <w:rsid w:val="004F518F"/>
    <w:rsid w:val="00516318"/>
    <w:rsid w:val="00520976"/>
    <w:rsid w:val="0058444D"/>
    <w:rsid w:val="005A1D73"/>
    <w:rsid w:val="005B1B72"/>
    <w:rsid w:val="005F559C"/>
    <w:rsid w:val="00634AC8"/>
    <w:rsid w:val="006877CD"/>
    <w:rsid w:val="00692CEA"/>
    <w:rsid w:val="006F52B1"/>
    <w:rsid w:val="007160F0"/>
    <w:rsid w:val="007315B3"/>
    <w:rsid w:val="00775C52"/>
    <w:rsid w:val="007B1FB9"/>
    <w:rsid w:val="007B57FD"/>
    <w:rsid w:val="00803E61"/>
    <w:rsid w:val="008277A4"/>
    <w:rsid w:val="00854C12"/>
    <w:rsid w:val="00860015"/>
    <w:rsid w:val="00875AFA"/>
    <w:rsid w:val="008A5780"/>
    <w:rsid w:val="008C46BC"/>
    <w:rsid w:val="008C5360"/>
    <w:rsid w:val="008D67D5"/>
    <w:rsid w:val="008D7969"/>
    <w:rsid w:val="008F2672"/>
    <w:rsid w:val="00930337"/>
    <w:rsid w:val="00961177"/>
    <w:rsid w:val="00967987"/>
    <w:rsid w:val="009832B5"/>
    <w:rsid w:val="009A7E5B"/>
    <w:rsid w:val="009C0CAE"/>
    <w:rsid w:val="009E1230"/>
    <w:rsid w:val="00A924B1"/>
    <w:rsid w:val="00AB3695"/>
    <w:rsid w:val="00AB67C4"/>
    <w:rsid w:val="00AD3BB5"/>
    <w:rsid w:val="00AD3FD9"/>
    <w:rsid w:val="00AF4CD3"/>
    <w:rsid w:val="00B02CC0"/>
    <w:rsid w:val="00B44E4A"/>
    <w:rsid w:val="00BA5BB2"/>
    <w:rsid w:val="00BC40C3"/>
    <w:rsid w:val="00C01AF5"/>
    <w:rsid w:val="00C02F31"/>
    <w:rsid w:val="00C161DE"/>
    <w:rsid w:val="00C319D6"/>
    <w:rsid w:val="00CA02DB"/>
    <w:rsid w:val="00CB4676"/>
    <w:rsid w:val="00CC62D0"/>
    <w:rsid w:val="00CE3539"/>
    <w:rsid w:val="00CE751E"/>
    <w:rsid w:val="00CF17C5"/>
    <w:rsid w:val="00CF6F2F"/>
    <w:rsid w:val="00D32B47"/>
    <w:rsid w:val="00D43C15"/>
    <w:rsid w:val="00D57C1B"/>
    <w:rsid w:val="00D7046F"/>
    <w:rsid w:val="00D73281"/>
    <w:rsid w:val="00E04824"/>
    <w:rsid w:val="00E55DCE"/>
    <w:rsid w:val="00E837F8"/>
    <w:rsid w:val="00EC181F"/>
    <w:rsid w:val="00EC21FA"/>
    <w:rsid w:val="00EC5655"/>
    <w:rsid w:val="00ED1B19"/>
    <w:rsid w:val="00F95709"/>
    <w:rsid w:val="00FC6105"/>
    <w:rsid w:val="00FD01F7"/>
    <w:rsid w:val="00FD1F29"/>
    <w:rsid w:val="00FD3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6AE2E15"/>
  <w15:docId w15:val="{C80DAA6B-915B-46AE-88B6-AD2C912B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Arial" w:hAnsi="Arial" w:cs="Arial"/>
      <w:szCs w:val="24"/>
      <w:lang w:eastAsia="ar-SA"/>
    </w:rPr>
  </w:style>
  <w:style w:type="paragraph" w:styleId="Titre1">
    <w:name w:val="heading 1"/>
    <w:basedOn w:val="Normal"/>
    <w:next w:val="Normal"/>
    <w:qFormat/>
    <w:pPr>
      <w:keepNext/>
      <w:tabs>
        <w:tab w:val="num" w:pos="0"/>
      </w:tabs>
      <w:spacing w:before="120"/>
      <w:ind w:left="432" w:hanging="432"/>
      <w:jc w:val="center"/>
      <w:outlineLvl w:val="0"/>
    </w:pPr>
    <w:rPr>
      <w:b/>
      <w:bCs/>
      <w:sz w:val="22"/>
    </w:rPr>
  </w:style>
  <w:style w:type="paragraph" w:styleId="Titre2">
    <w:name w:val="heading 2"/>
    <w:basedOn w:val="Normal"/>
    <w:next w:val="Normal"/>
    <w:qFormat/>
    <w:pPr>
      <w:keepNext/>
      <w:tabs>
        <w:tab w:val="num" w:pos="0"/>
      </w:tabs>
      <w:snapToGrid w:val="0"/>
      <w:spacing w:before="120"/>
      <w:ind w:right="-81"/>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Policepardfaut2">
    <w:name w:val="Police par défaut2"/>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CommentaireCar">
    <w:name w:val="Commentaire Car"/>
    <w:rPr>
      <w:rFonts w:ascii="Arial" w:hAnsi="Arial" w:cs="Arial"/>
    </w:rPr>
  </w:style>
  <w:style w:type="character" w:customStyle="1" w:styleId="ObjetducommentaireCar">
    <w:name w:val="Objet du commentaire Car"/>
    <w:rPr>
      <w:rFonts w:ascii="Arial" w:hAnsi="Arial" w:cs="Arial"/>
      <w:b/>
      <w:bCs/>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customStyle="1" w:styleId="Titre20">
    <w:name w:val="Titre2"/>
    <w:basedOn w:val="Normal"/>
    <w:next w:val="Corpsdetexte"/>
    <w:pPr>
      <w:keepNext/>
      <w:spacing w:before="240" w:after="120"/>
    </w:pPr>
    <w:rPr>
      <w:rFonts w:eastAsia="Arial Unicode MS" w:cs="Mangal"/>
      <w:sz w:val="28"/>
      <w:szCs w:val="28"/>
    </w:rPr>
  </w:style>
  <w:style w:type="paragraph" w:styleId="Corpsdetexte">
    <w:name w:val="Body Text"/>
    <w:basedOn w:val="Normal"/>
    <w:pPr>
      <w:snapToGrid w:val="0"/>
      <w:spacing w:before="120"/>
      <w:ind w:right="-81"/>
    </w:pPr>
    <w:rPr>
      <w:sz w:val="22"/>
    </w:rPr>
  </w:style>
  <w:style w:type="paragraph" w:styleId="Liste">
    <w:name w:val="List"/>
    <w:basedOn w:val="Corpsdetexte"/>
    <w:rPr>
      <w:rFonts w:ascii="Liberation Sans" w:hAnsi="Liberation Sans" w:cs="Tahoma"/>
    </w:rPr>
  </w:style>
  <w:style w:type="paragraph" w:customStyle="1" w:styleId="Lgende2">
    <w:name w:val="Légende2"/>
    <w:basedOn w:val="Normal"/>
    <w:pPr>
      <w:suppressLineNumbers/>
      <w:spacing w:before="120" w:after="120"/>
    </w:pPr>
    <w:rPr>
      <w:rFonts w:cs="Mangal"/>
      <w:i/>
      <w:iCs/>
      <w:sz w:val="24"/>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rPr>
  </w:style>
  <w:style w:type="paragraph" w:customStyle="1" w:styleId="Corpsdetexte21">
    <w:name w:val="Corps de texte 21"/>
    <w:basedOn w:val="Normal"/>
    <w:pPr>
      <w:jc w:val="center"/>
    </w:pPr>
    <w:rPr>
      <w:b/>
      <w:bCs/>
    </w:rPr>
  </w:style>
  <w:style w:type="paragraph" w:customStyle="1" w:styleId="Corpsdetexte31">
    <w:name w:val="Corps de texte 31"/>
    <w:basedOn w:val="Normal"/>
    <w:pPr>
      <w:spacing w:before="240"/>
    </w:pPr>
    <w:rPr>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mmentaire1">
    <w:name w:val="Commentaire1"/>
    <w:basedOn w:val="Normal"/>
    <w:rPr>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Expditeur-Destinataire">
    <w:name w:val="Expéditeur - Destinataire"/>
    <w:basedOn w:val="Normal"/>
    <w:rsid w:val="00F95709"/>
    <w:pPr>
      <w:shd w:val="clear" w:color="FFFFFF" w:fill="auto"/>
      <w:suppressAutoHyphens w:val="0"/>
      <w:spacing w:line="360" w:lineRule="auto"/>
      <w:jc w:val="both"/>
    </w:pPr>
    <w:rPr>
      <w:rFonts w:cs="Times New Roman"/>
      <w:color w:val="000000"/>
      <w:sz w:val="16"/>
      <w:szCs w:val="20"/>
      <w:lang w:eastAsia="fr-FR"/>
    </w:rPr>
  </w:style>
  <w:style w:type="paragraph" w:styleId="Listepuces">
    <w:name w:val="List Bullet"/>
    <w:basedOn w:val="Normal"/>
    <w:rsid w:val="00F95709"/>
    <w:pPr>
      <w:widowControl w:val="0"/>
      <w:numPr>
        <w:numId w:val="3"/>
      </w:numPr>
      <w:contextualSpacing/>
    </w:pPr>
    <w:rPr>
      <w:rFonts w:ascii="Times New Roman" w:hAnsi="Times New Roman" w:cs="Times New Roman"/>
      <w:sz w:val="24"/>
      <w:lang w:val="en-GB"/>
    </w:rPr>
  </w:style>
  <w:style w:type="paragraph" w:customStyle="1" w:styleId="Default">
    <w:name w:val="Default"/>
    <w:rsid w:val="00AB67C4"/>
    <w:pPr>
      <w:autoSpaceDE w:val="0"/>
      <w:autoSpaceDN w:val="0"/>
      <w:adjustRightInd w:val="0"/>
    </w:pPr>
    <w:rPr>
      <w:color w:val="000000"/>
      <w:sz w:val="24"/>
      <w:szCs w:val="24"/>
    </w:rPr>
  </w:style>
  <w:style w:type="paragraph" w:styleId="En-tte">
    <w:name w:val="header"/>
    <w:basedOn w:val="Normal"/>
    <w:link w:val="En-tteCar"/>
    <w:rsid w:val="007B57FD"/>
    <w:pPr>
      <w:tabs>
        <w:tab w:val="center" w:pos="4536"/>
        <w:tab w:val="right" w:pos="9072"/>
      </w:tabs>
      <w:suppressAutoHyphens w:val="0"/>
    </w:pPr>
    <w:rPr>
      <w:rFonts w:ascii="Times New Roman" w:hAnsi="Times New Roman" w:cs="Times New Roman"/>
      <w:sz w:val="24"/>
      <w:lang w:eastAsia="fr-FR"/>
    </w:rPr>
  </w:style>
  <w:style w:type="character" w:customStyle="1" w:styleId="En-tteCar">
    <w:name w:val="En-tête Car"/>
    <w:link w:val="En-tte"/>
    <w:locked/>
    <w:rsid w:val="007B57FD"/>
    <w:rPr>
      <w:sz w:val="24"/>
      <w:szCs w:val="24"/>
      <w:lang w:val="fr-FR" w:eastAsia="fr-FR" w:bidi="ar-SA"/>
    </w:rPr>
  </w:style>
  <w:style w:type="paragraph" w:styleId="Pieddepage">
    <w:name w:val="footer"/>
    <w:basedOn w:val="Normal"/>
    <w:link w:val="PieddepageCar"/>
    <w:rsid w:val="00FD1F29"/>
    <w:pPr>
      <w:tabs>
        <w:tab w:val="center" w:pos="4536"/>
        <w:tab w:val="right" w:pos="9072"/>
      </w:tabs>
    </w:pPr>
  </w:style>
  <w:style w:type="character" w:customStyle="1" w:styleId="PieddepageCar">
    <w:name w:val="Pied de page Car"/>
    <w:basedOn w:val="Policepardfaut"/>
    <w:link w:val="Pieddepage"/>
    <w:rsid w:val="00FD1F29"/>
    <w:rPr>
      <w:rFonts w:ascii="Arial" w:hAnsi="Arial" w:cs="Arial"/>
      <w:szCs w:val="24"/>
      <w:lang w:eastAsia="ar-SA"/>
    </w:rPr>
  </w:style>
  <w:style w:type="character" w:styleId="Marquedecommentaire">
    <w:name w:val="annotation reference"/>
    <w:basedOn w:val="Policepardfaut"/>
    <w:rsid w:val="00C161DE"/>
    <w:rPr>
      <w:sz w:val="16"/>
      <w:szCs w:val="16"/>
    </w:rPr>
  </w:style>
  <w:style w:type="paragraph" w:styleId="Commentaire">
    <w:name w:val="annotation text"/>
    <w:basedOn w:val="Normal"/>
    <w:link w:val="CommentaireCar1"/>
    <w:rsid w:val="00C161DE"/>
    <w:rPr>
      <w:szCs w:val="20"/>
    </w:rPr>
  </w:style>
  <w:style w:type="character" w:customStyle="1" w:styleId="CommentaireCar1">
    <w:name w:val="Commentaire Car1"/>
    <w:basedOn w:val="Policepardfaut"/>
    <w:link w:val="Commentaire"/>
    <w:rsid w:val="00C161DE"/>
    <w:rPr>
      <w:rFonts w:ascii="Arial" w:hAnsi="Arial" w:cs="Arial"/>
      <w:lang w:eastAsia="ar-SA"/>
    </w:rPr>
  </w:style>
  <w:style w:type="character" w:customStyle="1" w:styleId="markedcontent">
    <w:name w:val="markedcontent"/>
    <w:basedOn w:val="Policepardfaut"/>
    <w:rsid w:val="00C161DE"/>
  </w:style>
  <w:style w:type="paragraph" w:customStyle="1" w:styleId="TableParagraph">
    <w:name w:val="Table Paragraph"/>
    <w:basedOn w:val="Normal"/>
    <w:uiPriority w:val="1"/>
    <w:qFormat/>
    <w:rsid w:val="0031787E"/>
    <w:pPr>
      <w:widowControl w:val="0"/>
      <w:suppressAutoHyphens w:val="0"/>
      <w:autoSpaceDE w:val="0"/>
      <w:autoSpaceDN w:val="0"/>
      <w:ind w:left="59"/>
    </w:pPr>
    <w:rPr>
      <w:rFonts w:eastAsia="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3579">
      <w:bodyDiv w:val="1"/>
      <w:marLeft w:val="0"/>
      <w:marRight w:val="0"/>
      <w:marTop w:val="0"/>
      <w:marBottom w:val="0"/>
      <w:divBdr>
        <w:top w:val="none" w:sz="0" w:space="0" w:color="auto"/>
        <w:left w:val="none" w:sz="0" w:space="0" w:color="auto"/>
        <w:bottom w:val="none" w:sz="0" w:space="0" w:color="auto"/>
        <w:right w:val="none" w:sz="0" w:space="0" w:color="auto"/>
      </w:divBdr>
    </w:div>
    <w:div w:id="1072508477">
      <w:bodyDiv w:val="1"/>
      <w:marLeft w:val="0"/>
      <w:marRight w:val="0"/>
      <w:marTop w:val="0"/>
      <w:marBottom w:val="0"/>
      <w:divBdr>
        <w:top w:val="none" w:sz="0" w:space="0" w:color="auto"/>
        <w:left w:val="none" w:sz="0" w:space="0" w:color="auto"/>
        <w:bottom w:val="none" w:sz="0" w:space="0" w:color="auto"/>
        <w:right w:val="none" w:sz="0" w:space="0" w:color="auto"/>
      </w:divBdr>
    </w:div>
    <w:div w:id="18646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Indiquez ici le numéro Epicéa</vt:lpstr>
    </vt:vector>
  </TitlesOfParts>
  <Company>ENVA</Company>
  <LinksUpToDate>false</LinksUpToDate>
  <CharactersWithSpaces>5891</CharactersWithSpaces>
  <SharedDoc>false</SharedDoc>
  <HLinks>
    <vt:vector size="6" baseType="variant">
      <vt:variant>
        <vt:i4>4522017</vt:i4>
      </vt:variant>
      <vt:variant>
        <vt:i4>0</vt:i4>
      </vt:variant>
      <vt:variant>
        <vt:i4>0</vt:i4>
      </vt:variant>
      <vt:variant>
        <vt:i4>5</vt:i4>
      </vt:variant>
      <vt:variant>
        <vt:lpwstr>mailto:drh@vet-alfort.fr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Indiquez ici le numéro Epicéa</dc:title>
  <dc:creator>HERBRETEAU Bénédicte</dc:creator>
  <dc:description>mis à jour le 23 mai 2011</dc:description>
  <cp:lastModifiedBy>Ben Yelles Claudia</cp:lastModifiedBy>
  <cp:revision>3</cp:revision>
  <cp:lastPrinted>2021-09-17T15:04:00Z</cp:lastPrinted>
  <dcterms:created xsi:type="dcterms:W3CDTF">2022-01-20T15:23:00Z</dcterms:created>
  <dcterms:modified xsi:type="dcterms:W3CDTF">2022-01-20T16:04:00Z</dcterms:modified>
</cp:coreProperties>
</file>